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09F7" w14:textId="77777777" w:rsidR="00651A12" w:rsidRPr="00651A12" w:rsidRDefault="00651A12" w:rsidP="00651A12">
      <w:pPr>
        <w:pStyle w:val="FR1"/>
        <w:tabs>
          <w:tab w:val="left" w:pos="5420"/>
        </w:tabs>
        <w:spacing w:before="0"/>
        <w:ind w:left="0" w:right="0"/>
        <w:rPr>
          <w:sz w:val="26"/>
          <w:szCs w:val="26"/>
        </w:rPr>
      </w:pPr>
      <w:r w:rsidRPr="00651A12">
        <w:rPr>
          <w:sz w:val="26"/>
          <w:szCs w:val="26"/>
        </w:rPr>
        <w:t>Правительство Российской Федерации</w:t>
      </w:r>
    </w:p>
    <w:p w14:paraId="423B0187" w14:textId="77777777" w:rsidR="00651A12" w:rsidRPr="00651A12" w:rsidRDefault="00651A12" w:rsidP="00651A12">
      <w:pPr>
        <w:pStyle w:val="FR1"/>
        <w:tabs>
          <w:tab w:val="left" w:pos="5420"/>
        </w:tabs>
        <w:spacing w:before="0"/>
        <w:ind w:left="0" w:right="0"/>
        <w:rPr>
          <w:sz w:val="26"/>
          <w:szCs w:val="26"/>
        </w:rPr>
      </w:pPr>
    </w:p>
    <w:p w14:paraId="6CB665BE" w14:textId="77777777" w:rsidR="00651A12" w:rsidRPr="00651A12" w:rsidRDefault="00651A12" w:rsidP="00651A12">
      <w:pPr>
        <w:pStyle w:val="FR1"/>
        <w:tabs>
          <w:tab w:val="left" w:pos="5420"/>
        </w:tabs>
        <w:spacing w:before="0"/>
        <w:ind w:left="0" w:right="0"/>
        <w:rPr>
          <w:color w:val="000000"/>
          <w:sz w:val="26"/>
          <w:szCs w:val="26"/>
        </w:rPr>
      </w:pPr>
      <w:r w:rsidRPr="00651A12">
        <w:rPr>
          <w:color w:val="000000"/>
          <w:sz w:val="26"/>
          <w:szCs w:val="26"/>
        </w:rPr>
        <w:t xml:space="preserve">Федеральное государственное автономное образовательное учреждение </w:t>
      </w:r>
    </w:p>
    <w:p w14:paraId="2C6A1D31" w14:textId="77777777" w:rsidR="00651A12" w:rsidRPr="00651A12" w:rsidRDefault="00651A12" w:rsidP="00651A12">
      <w:pPr>
        <w:pStyle w:val="FR1"/>
        <w:tabs>
          <w:tab w:val="left" w:pos="5420"/>
        </w:tabs>
        <w:spacing w:before="0"/>
        <w:ind w:left="0" w:right="0"/>
        <w:rPr>
          <w:color w:val="000000"/>
          <w:sz w:val="26"/>
          <w:szCs w:val="26"/>
        </w:rPr>
      </w:pPr>
      <w:r w:rsidRPr="00651A12">
        <w:rPr>
          <w:color w:val="000000"/>
          <w:sz w:val="26"/>
          <w:szCs w:val="26"/>
        </w:rPr>
        <w:t>высшего профессионального образования</w:t>
      </w:r>
    </w:p>
    <w:p w14:paraId="7DEE9B51" w14:textId="77777777" w:rsidR="00651A12" w:rsidRPr="00651A12" w:rsidRDefault="00651A12" w:rsidP="00651A12">
      <w:pPr>
        <w:pStyle w:val="FR1"/>
        <w:tabs>
          <w:tab w:val="left" w:pos="5420"/>
        </w:tabs>
        <w:spacing w:before="0"/>
        <w:ind w:left="0" w:right="0"/>
        <w:rPr>
          <w:sz w:val="26"/>
          <w:szCs w:val="26"/>
        </w:rPr>
      </w:pPr>
    </w:p>
    <w:p w14:paraId="45C96D4F" w14:textId="77777777" w:rsidR="00651A12" w:rsidRPr="00651A12" w:rsidRDefault="00651A12" w:rsidP="00651A12">
      <w:pPr>
        <w:pStyle w:val="FR1"/>
        <w:spacing w:before="0"/>
        <w:ind w:left="0" w:right="-6"/>
        <w:rPr>
          <w:sz w:val="26"/>
          <w:szCs w:val="26"/>
        </w:rPr>
      </w:pPr>
      <w:r w:rsidRPr="00651A12">
        <w:rPr>
          <w:sz w:val="26"/>
          <w:szCs w:val="26"/>
        </w:rPr>
        <w:t xml:space="preserve">«Национальный исследовательский университет </w:t>
      </w:r>
      <w:r w:rsidRPr="00651A12">
        <w:rPr>
          <w:sz w:val="26"/>
          <w:szCs w:val="26"/>
        </w:rPr>
        <w:br/>
        <w:t>«Высшая школа экономики»</w:t>
      </w:r>
    </w:p>
    <w:p w14:paraId="5B734557" w14:textId="77777777" w:rsidR="00651A12" w:rsidRPr="00651A12" w:rsidRDefault="00651A12" w:rsidP="00651A12">
      <w:pPr>
        <w:rPr>
          <w:rFonts w:cs="Times New Roman"/>
          <w:sz w:val="26"/>
          <w:szCs w:val="26"/>
        </w:rPr>
      </w:pPr>
    </w:p>
    <w:p w14:paraId="70380C0B" w14:textId="77777777" w:rsidR="00651A12" w:rsidRPr="00651A12" w:rsidRDefault="00651A12" w:rsidP="00651A12">
      <w:pPr>
        <w:pStyle w:val="Heading6"/>
        <w:numPr>
          <w:ilvl w:val="0"/>
          <w:numId w:val="0"/>
        </w:numPr>
        <w:jc w:val="center"/>
        <w:rPr>
          <w:rFonts w:ascii="Times New Roman" w:hAnsi="Times New Roman"/>
          <w:sz w:val="26"/>
          <w:szCs w:val="26"/>
        </w:rPr>
      </w:pPr>
      <w:r w:rsidRPr="00651A12">
        <w:rPr>
          <w:rFonts w:ascii="Times New Roman" w:hAnsi="Times New Roman"/>
          <w:sz w:val="26"/>
          <w:szCs w:val="26"/>
        </w:rPr>
        <w:t>Факультет мировой экономики и мировой политики</w:t>
      </w:r>
    </w:p>
    <w:p w14:paraId="31330259" w14:textId="77777777" w:rsidR="00651A12" w:rsidRPr="00651A12" w:rsidRDefault="00651A12" w:rsidP="00651A12">
      <w:pPr>
        <w:jc w:val="center"/>
        <w:rPr>
          <w:rFonts w:cs="Times New Roman"/>
          <w:sz w:val="24"/>
          <w:szCs w:val="24"/>
        </w:rPr>
      </w:pPr>
      <w:r w:rsidRPr="00651A12">
        <w:rPr>
          <w:rFonts w:cs="Times New Roman"/>
          <w:sz w:val="24"/>
          <w:szCs w:val="24"/>
        </w:rPr>
        <w:t>Направление экономики</w:t>
      </w:r>
    </w:p>
    <w:p w14:paraId="0CEDF005" w14:textId="77777777" w:rsidR="00651A12" w:rsidRPr="00651A12" w:rsidRDefault="00651A12" w:rsidP="00651A12">
      <w:pPr>
        <w:pStyle w:val="Heading6"/>
        <w:numPr>
          <w:ilvl w:val="0"/>
          <w:numId w:val="0"/>
        </w:numPr>
        <w:jc w:val="center"/>
        <w:rPr>
          <w:rFonts w:ascii="Times New Roman" w:hAnsi="Times New Roman"/>
          <w:sz w:val="26"/>
          <w:szCs w:val="26"/>
        </w:rPr>
      </w:pPr>
      <w:r w:rsidRPr="00651A12">
        <w:rPr>
          <w:rFonts w:ascii="Times New Roman" w:hAnsi="Times New Roman"/>
          <w:sz w:val="26"/>
          <w:szCs w:val="26"/>
        </w:rPr>
        <w:t>Кафедра</w:t>
      </w:r>
      <w:r w:rsidRPr="00651A12">
        <w:rPr>
          <w:rStyle w:val="FootnoteReference"/>
          <w:rFonts w:ascii="Times New Roman" w:hAnsi="Times New Roman"/>
          <w:sz w:val="26"/>
          <w:szCs w:val="26"/>
        </w:rPr>
        <w:t xml:space="preserve"> </w:t>
      </w:r>
      <w:r w:rsidRPr="00651A12">
        <w:rPr>
          <w:rFonts w:ascii="Times New Roman" w:hAnsi="Times New Roman"/>
          <w:sz w:val="26"/>
          <w:szCs w:val="26"/>
        </w:rPr>
        <w:t>международного бизнеса</w:t>
      </w:r>
    </w:p>
    <w:p w14:paraId="1F1DA192" w14:textId="77777777" w:rsidR="00651A12" w:rsidRPr="00651A12" w:rsidRDefault="00651A12" w:rsidP="00651A12">
      <w:pPr>
        <w:autoSpaceDE w:val="0"/>
        <w:autoSpaceDN w:val="0"/>
        <w:adjustRightInd w:val="0"/>
        <w:jc w:val="center"/>
        <w:rPr>
          <w:rFonts w:cs="Times New Roman"/>
          <w:sz w:val="26"/>
          <w:szCs w:val="26"/>
        </w:rPr>
      </w:pPr>
    </w:p>
    <w:p w14:paraId="09499E47" w14:textId="77777777" w:rsidR="00651A12" w:rsidRPr="00651A12" w:rsidRDefault="00651A12" w:rsidP="00651A12">
      <w:pPr>
        <w:autoSpaceDE w:val="0"/>
        <w:autoSpaceDN w:val="0"/>
        <w:adjustRightInd w:val="0"/>
        <w:rPr>
          <w:rFonts w:cs="Times New Roman"/>
          <w:sz w:val="26"/>
          <w:szCs w:val="26"/>
        </w:rPr>
      </w:pPr>
    </w:p>
    <w:p w14:paraId="72A67270" w14:textId="2951D5FD" w:rsidR="00651A12" w:rsidRPr="00651A12" w:rsidRDefault="00651A12" w:rsidP="00651A12">
      <w:pPr>
        <w:pStyle w:val="Heading6"/>
        <w:numPr>
          <w:ilvl w:val="0"/>
          <w:numId w:val="0"/>
        </w:numPr>
        <w:jc w:val="center"/>
        <w:rPr>
          <w:rFonts w:ascii="Times New Roman" w:hAnsi="Times New Roman"/>
          <w:b w:val="0"/>
          <w:bCs w:val="0"/>
          <w:sz w:val="26"/>
          <w:szCs w:val="26"/>
        </w:rPr>
      </w:pPr>
      <w:r w:rsidRPr="00651A12">
        <w:rPr>
          <w:rFonts w:ascii="Times New Roman" w:hAnsi="Times New Roman"/>
          <w:sz w:val="26"/>
          <w:szCs w:val="26"/>
        </w:rPr>
        <w:t>ВЫПУСКНАЯ</w:t>
      </w:r>
      <w:r w:rsidRPr="00651A12">
        <w:rPr>
          <w:rFonts w:ascii="Times New Roman" w:hAnsi="Times New Roman"/>
          <w:b w:val="0"/>
          <w:bCs w:val="0"/>
          <w:sz w:val="26"/>
          <w:szCs w:val="26"/>
        </w:rPr>
        <w:t xml:space="preserve"> </w:t>
      </w:r>
      <w:r w:rsidRPr="00651A12">
        <w:rPr>
          <w:rFonts w:ascii="Times New Roman" w:hAnsi="Times New Roman"/>
          <w:bCs w:val="0"/>
          <w:sz w:val="26"/>
          <w:szCs w:val="26"/>
        </w:rPr>
        <w:t>КВАЛИФИКАЦИОННАЯ РАБОТА</w:t>
      </w:r>
    </w:p>
    <w:p w14:paraId="76813296" w14:textId="77777777" w:rsidR="00651A12" w:rsidRPr="00651A12" w:rsidRDefault="00651A12" w:rsidP="00651A12">
      <w:pPr>
        <w:autoSpaceDE w:val="0"/>
        <w:autoSpaceDN w:val="0"/>
        <w:adjustRightInd w:val="0"/>
        <w:jc w:val="center"/>
        <w:rPr>
          <w:rFonts w:cs="Times New Roman"/>
          <w:b/>
          <w:bCs/>
          <w:sz w:val="26"/>
          <w:szCs w:val="26"/>
        </w:rPr>
      </w:pPr>
    </w:p>
    <w:p w14:paraId="557EA717" w14:textId="77777777" w:rsidR="00651A12" w:rsidRPr="00651A12" w:rsidRDefault="00651A12" w:rsidP="00651A12">
      <w:pPr>
        <w:pStyle w:val="BodyText2"/>
        <w:jc w:val="center"/>
        <w:rPr>
          <w:sz w:val="26"/>
          <w:szCs w:val="26"/>
        </w:rPr>
      </w:pPr>
      <w:r w:rsidRPr="00651A12">
        <w:rPr>
          <w:sz w:val="26"/>
          <w:szCs w:val="26"/>
        </w:rPr>
        <w:t>На тему:</w:t>
      </w:r>
    </w:p>
    <w:p w14:paraId="76DD0E45" w14:textId="4DCA434B" w:rsidR="00651A12" w:rsidRPr="00651A12" w:rsidRDefault="00651A12" w:rsidP="00651A12">
      <w:pPr>
        <w:pStyle w:val="NoSpacing"/>
        <w:jc w:val="center"/>
        <w:rPr>
          <w:rFonts w:ascii="Times New Roman" w:hAnsi="Times New Roman" w:cs="Times New Roman"/>
          <w:sz w:val="26"/>
          <w:szCs w:val="26"/>
        </w:rPr>
      </w:pPr>
      <w:r w:rsidRPr="00651A12">
        <w:rPr>
          <w:rFonts w:ascii="Times New Roman" w:hAnsi="Times New Roman" w:cs="Times New Roman"/>
          <w:sz w:val="26"/>
          <w:szCs w:val="26"/>
        </w:rPr>
        <w:t>«Особенности слияний и поглощений как формы экспансии иностранных банков на российский финансовый рынок»</w:t>
      </w:r>
    </w:p>
    <w:p w14:paraId="57A95DC5" w14:textId="77777777" w:rsidR="00651A12" w:rsidRDefault="00651A12" w:rsidP="00651A12">
      <w:pPr>
        <w:autoSpaceDE w:val="0"/>
        <w:autoSpaceDN w:val="0"/>
        <w:adjustRightInd w:val="0"/>
        <w:spacing w:before="35"/>
        <w:jc w:val="both"/>
        <w:rPr>
          <w:rFonts w:cs="Times New Roman"/>
          <w:sz w:val="26"/>
          <w:szCs w:val="26"/>
        </w:rPr>
      </w:pPr>
    </w:p>
    <w:p w14:paraId="1E52AE98" w14:textId="77777777" w:rsidR="00651A12" w:rsidRPr="00651A12" w:rsidRDefault="00651A12" w:rsidP="00651A12">
      <w:pPr>
        <w:autoSpaceDE w:val="0"/>
        <w:autoSpaceDN w:val="0"/>
        <w:adjustRightInd w:val="0"/>
        <w:spacing w:before="35"/>
        <w:jc w:val="both"/>
        <w:rPr>
          <w:rFonts w:cs="Times New Roman"/>
          <w:sz w:val="26"/>
          <w:szCs w:val="26"/>
        </w:rPr>
      </w:pPr>
    </w:p>
    <w:p w14:paraId="177F2DF4" w14:textId="77777777" w:rsidR="00651A12" w:rsidRPr="00651A12" w:rsidRDefault="00651A12" w:rsidP="00651A12">
      <w:pPr>
        <w:autoSpaceDE w:val="0"/>
        <w:autoSpaceDN w:val="0"/>
        <w:adjustRightInd w:val="0"/>
        <w:spacing w:before="35" w:after="0" w:line="240" w:lineRule="auto"/>
        <w:ind w:left="6300"/>
        <w:jc w:val="both"/>
        <w:rPr>
          <w:rFonts w:cs="Times New Roman"/>
          <w:sz w:val="26"/>
          <w:szCs w:val="26"/>
        </w:rPr>
      </w:pPr>
    </w:p>
    <w:p w14:paraId="0512A5E3" w14:textId="5969F8F7" w:rsidR="00651A12" w:rsidRPr="00651A12" w:rsidRDefault="00651A12" w:rsidP="00651A12">
      <w:pPr>
        <w:pStyle w:val="NoSpacing"/>
        <w:ind w:left="5529"/>
        <w:rPr>
          <w:rFonts w:ascii="Times New Roman" w:hAnsi="Times New Roman" w:cs="Times New Roman"/>
          <w:sz w:val="26"/>
          <w:szCs w:val="26"/>
        </w:rPr>
      </w:pPr>
      <w:r w:rsidRPr="00651A12">
        <w:rPr>
          <w:rFonts w:ascii="Times New Roman" w:hAnsi="Times New Roman" w:cs="Times New Roman"/>
          <w:sz w:val="26"/>
          <w:szCs w:val="26"/>
        </w:rPr>
        <w:t xml:space="preserve">Студент группы № </w:t>
      </w:r>
      <w:r w:rsidRPr="00651A12">
        <w:rPr>
          <w:rFonts w:ascii="Times New Roman" w:hAnsi="Times New Roman" w:cs="Times New Roman"/>
          <w:sz w:val="26"/>
          <w:szCs w:val="26"/>
        </w:rPr>
        <w:t>465</w:t>
      </w:r>
    </w:p>
    <w:p w14:paraId="3772AA71" w14:textId="4B9C7766" w:rsidR="00651A12" w:rsidRPr="00651A12" w:rsidRDefault="00651A12" w:rsidP="00651A12">
      <w:pPr>
        <w:pStyle w:val="NoSpacing"/>
        <w:ind w:left="5529"/>
        <w:rPr>
          <w:rFonts w:ascii="Times New Roman" w:hAnsi="Times New Roman" w:cs="Times New Roman"/>
          <w:sz w:val="26"/>
          <w:szCs w:val="26"/>
        </w:rPr>
      </w:pPr>
      <w:r>
        <w:rPr>
          <w:rFonts w:ascii="Times New Roman" w:hAnsi="Times New Roman" w:cs="Times New Roman"/>
          <w:sz w:val="26"/>
          <w:szCs w:val="26"/>
        </w:rPr>
        <w:t>Гусаков Илья Ал</w:t>
      </w:r>
      <w:r w:rsidRPr="00651A12">
        <w:rPr>
          <w:rFonts w:ascii="Times New Roman" w:hAnsi="Times New Roman" w:cs="Times New Roman"/>
          <w:sz w:val="26"/>
          <w:szCs w:val="26"/>
        </w:rPr>
        <w:t>ександрович</w:t>
      </w:r>
    </w:p>
    <w:p w14:paraId="450174A3" w14:textId="77777777" w:rsidR="00651A12" w:rsidRPr="00651A12" w:rsidRDefault="00651A12" w:rsidP="00651A12">
      <w:pPr>
        <w:pStyle w:val="NoSpacing"/>
        <w:ind w:left="5529"/>
        <w:rPr>
          <w:rFonts w:ascii="Times New Roman" w:hAnsi="Times New Roman" w:cs="Times New Roman"/>
          <w:sz w:val="26"/>
          <w:szCs w:val="26"/>
        </w:rPr>
      </w:pPr>
    </w:p>
    <w:p w14:paraId="63E464E8" w14:textId="77777777" w:rsidR="00651A12" w:rsidRPr="00651A12" w:rsidRDefault="00651A12" w:rsidP="00651A12">
      <w:pPr>
        <w:pStyle w:val="NoSpacing"/>
        <w:ind w:left="5529"/>
        <w:rPr>
          <w:rFonts w:ascii="Times New Roman" w:hAnsi="Times New Roman" w:cs="Times New Roman"/>
          <w:sz w:val="26"/>
          <w:szCs w:val="26"/>
        </w:rPr>
      </w:pPr>
      <w:r w:rsidRPr="00651A12">
        <w:rPr>
          <w:rFonts w:ascii="Times New Roman" w:hAnsi="Times New Roman" w:cs="Times New Roman"/>
          <w:sz w:val="26"/>
          <w:szCs w:val="26"/>
        </w:rPr>
        <w:t>Руководитель ВКР</w:t>
      </w:r>
    </w:p>
    <w:p w14:paraId="3A1A05D5" w14:textId="659B0A68" w:rsidR="00651A12" w:rsidRPr="00651A12" w:rsidRDefault="00651A12" w:rsidP="00651A12">
      <w:pPr>
        <w:pStyle w:val="NoSpacing"/>
        <w:ind w:left="5529"/>
        <w:rPr>
          <w:rFonts w:ascii="Times New Roman" w:hAnsi="Times New Roman" w:cs="Times New Roman"/>
          <w:sz w:val="26"/>
          <w:szCs w:val="26"/>
        </w:rPr>
      </w:pPr>
      <w:r w:rsidRPr="00651A12">
        <w:rPr>
          <w:rFonts w:ascii="Times New Roman" w:hAnsi="Times New Roman" w:cs="Times New Roman"/>
          <w:sz w:val="26"/>
          <w:szCs w:val="26"/>
        </w:rPr>
        <w:t xml:space="preserve">Старший преподаватель </w:t>
      </w:r>
      <w:r w:rsidRPr="00651A12">
        <w:rPr>
          <w:rFonts w:ascii="Times New Roman" w:hAnsi="Times New Roman" w:cs="Times New Roman"/>
          <w:sz w:val="26"/>
          <w:szCs w:val="26"/>
        </w:rPr>
        <w:t>кафедры международного бизнеса</w:t>
      </w:r>
    </w:p>
    <w:p w14:paraId="5DBD4FF2" w14:textId="6293B576" w:rsidR="00651A12" w:rsidRPr="00651A12" w:rsidRDefault="00651A12" w:rsidP="00651A12">
      <w:pPr>
        <w:pStyle w:val="NoSpacing"/>
        <w:ind w:left="5529"/>
        <w:rPr>
          <w:rFonts w:ascii="Times New Roman" w:hAnsi="Times New Roman" w:cs="Times New Roman"/>
          <w:sz w:val="26"/>
          <w:szCs w:val="26"/>
        </w:rPr>
      </w:pPr>
      <w:r w:rsidRPr="00651A12">
        <w:rPr>
          <w:rFonts w:ascii="Times New Roman" w:hAnsi="Times New Roman" w:cs="Times New Roman"/>
          <w:sz w:val="26"/>
          <w:szCs w:val="26"/>
        </w:rPr>
        <w:t>Медведев Денис Анатолье</w:t>
      </w:r>
      <w:bookmarkStart w:id="0" w:name="_GoBack"/>
      <w:bookmarkEnd w:id="0"/>
      <w:r w:rsidRPr="00651A12">
        <w:rPr>
          <w:rFonts w:ascii="Times New Roman" w:hAnsi="Times New Roman" w:cs="Times New Roman"/>
          <w:sz w:val="26"/>
          <w:szCs w:val="26"/>
        </w:rPr>
        <w:t>вич</w:t>
      </w:r>
    </w:p>
    <w:p w14:paraId="42B0E3DC" w14:textId="77777777" w:rsidR="00651A12" w:rsidRPr="00651A12" w:rsidRDefault="00651A12" w:rsidP="00651A12">
      <w:pPr>
        <w:ind w:left="4956"/>
        <w:jc w:val="both"/>
        <w:rPr>
          <w:rFonts w:cs="Times New Roman"/>
          <w:sz w:val="26"/>
          <w:szCs w:val="26"/>
        </w:rPr>
      </w:pPr>
    </w:p>
    <w:p w14:paraId="277BA734" w14:textId="77777777" w:rsidR="00651A12" w:rsidRDefault="00651A12" w:rsidP="00651A12">
      <w:pPr>
        <w:jc w:val="both"/>
        <w:rPr>
          <w:rFonts w:cs="Times New Roman"/>
          <w:sz w:val="26"/>
          <w:szCs w:val="26"/>
        </w:rPr>
      </w:pPr>
    </w:p>
    <w:p w14:paraId="460F27DE" w14:textId="77777777" w:rsidR="00651A12" w:rsidRDefault="00651A12" w:rsidP="00651A12">
      <w:pPr>
        <w:jc w:val="both"/>
        <w:rPr>
          <w:rFonts w:cs="Times New Roman"/>
          <w:sz w:val="26"/>
          <w:szCs w:val="26"/>
        </w:rPr>
      </w:pPr>
    </w:p>
    <w:p w14:paraId="4E794B83" w14:textId="77777777" w:rsidR="00651A12" w:rsidRDefault="00651A12" w:rsidP="00651A12">
      <w:pPr>
        <w:jc w:val="both"/>
        <w:rPr>
          <w:rFonts w:cs="Times New Roman"/>
          <w:sz w:val="26"/>
          <w:szCs w:val="26"/>
        </w:rPr>
      </w:pPr>
    </w:p>
    <w:p w14:paraId="6500B410" w14:textId="77777777" w:rsidR="00651A12" w:rsidRDefault="00651A12" w:rsidP="00651A12">
      <w:pPr>
        <w:jc w:val="both"/>
        <w:rPr>
          <w:rFonts w:cs="Times New Roman"/>
          <w:sz w:val="26"/>
          <w:szCs w:val="26"/>
          <w:lang w:val="en-US"/>
        </w:rPr>
      </w:pPr>
    </w:p>
    <w:p w14:paraId="65B80495" w14:textId="77777777" w:rsidR="00651A12" w:rsidRPr="00651A12" w:rsidRDefault="00651A12" w:rsidP="00651A12">
      <w:pPr>
        <w:jc w:val="both"/>
        <w:rPr>
          <w:rFonts w:cs="Times New Roman"/>
          <w:sz w:val="26"/>
          <w:szCs w:val="26"/>
          <w:lang w:val="en-US"/>
        </w:rPr>
      </w:pPr>
    </w:p>
    <w:p w14:paraId="766598D2" w14:textId="77777777" w:rsidR="00651A12" w:rsidRPr="00651A12" w:rsidRDefault="00651A12" w:rsidP="00651A12">
      <w:pPr>
        <w:autoSpaceDE w:val="0"/>
        <w:autoSpaceDN w:val="0"/>
        <w:adjustRightInd w:val="0"/>
        <w:jc w:val="center"/>
        <w:rPr>
          <w:rFonts w:cs="Times New Roman"/>
          <w:sz w:val="26"/>
          <w:szCs w:val="26"/>
          <w:lang w:val="en-US"/>
        </w:rPr>
      </w:pPr>
      <w:r w:rsidRPr="00651A12">
        <w:rPr>
          <w:rFonts w:cs="Times New Roman"/>
          <w:sz w:val="26"/>
          <w:szCs w:val="26"/>
        </w:rPr>
        <w:t>Москва, 20</w:t>
      </w:r>
      <w:r w:rsidRPr="00651A12">
        <w:rPr>
          <w:rFonts w:cs="Times New Roman"/>
          <w:sz w:val="26"/>
          <w:szCs w:val="26"/>
          <w:lang w:val="en-US"/>
        </w:rPr>
        <w:t>13</w:t>
      </w:r>
    </w:p>
    <w:p w14:paraId="1ED70899" w14:textId="77777777" w:rsidR="003D5BCB" w:rsidRPr="00651A12" w:rsidRDefault="003D5BCB" w:rsidP="006828FC">
      <w:pPr>
        <w:pStyle w:val="NoSpacing"/>
        <w:spacing w:line="360" w:lineRule="auto"/>
        <w:ind w:right="-1" w:firstLine="284"/>
        <w:rPr>
          <w:rFonts w:ascii="Times New Roman" w:hAnsi="Times New Roman" w:cs="Times New Roman"/>
          <w:b/>
          <w:sz w:val="28"/>
          <w:szCs w:val="28"/>
        </w:rPr>
      </w:pPr>
      <w:r w:rsidRPr="00651A12">
        <w:rPr>
          <w:rFonts w:ascii="Times New Roman" w:hAnsi="Times New Roman" w:cs="Times New Roman"/>
          <w:b/>
          <w:sz w:val="28"/>
          <w:szCs w:val="28"/>
        </w:rPr>
        <w:lastRenderedPageBreak/>
        <w:t>Введение.</w:t>
      </w:r>
    </w:p>
    <w:p w14:paraId="13AD3CE0" w14:textId="12D604B1" w:rsidR="00467C7E" w:rsidRPr="00651A12" w:rsidRDefault="00590EC4" w:rsidP="006828FC">
      <w:pPr>
        <w:pStyle w:val="NoSpacing"/>
        <w:spacing w:line="360" w:lineRule="auto"/>
        <w:ind w:right="-1" w:firstLine="284"/>
        <w:rPr>
          <w:rFonts w:ascii="Times New Roman" w:hAnsi="Times New Roman" w:cs="Times New Roman"/>
          <w:sz w:val="28"/>
          <w:szCs w:val="28"/>
          <w:shd w:val="clear" w:color="auto" w:fill="FFFFFF"/>
        </w:rPr>
      </w:pPr>
      <w:r w:rsidRPr="00651A12">
        <w:rPr>
          <w:rStyle w:val="apple-style-span"/>
          <w:rFonts w:ascii="Times New Roman" w:hAnsi="Times New Roman" w:cs="Times New Roman"/>
          <w:b/>
          <w:sz w:val="28"/>
          <w:szCs w:val="28"/>
          <w:shd w:val="clear" w:color="auto" w:fill="FFFFFF"/>
        </w:rPr>
        <w:t xml:space="preserve">Глава 1. Слияния и поглощения </w:t>
      </w:r>
      <w:r w:rsidR="00877480" w:rsidRPr="00651A12">
        <w:rPr>
          <w:rStyle w:val="apple-style-span"/>
          <w:rFonts w:ascii="Times New Roman" w:hAnsi="Times New Roman" w:cs="Times New Roman"/>
          <w:b/>
          <w:sz w:val="28"/>
          <w:szCs w:val="28"/>
          <w:shd w:val="clear" w:color="auto" w:fill="FFFFFF"/>
        </w:rPr>
        <w:t>как форма экспансии компании на зарубежный рынок</w:t>
      </w:r>
      <w:r w:rsidR="003D5BCB" w:rsidRPr="00651A12">
        <w:rPr>
          <w:rFonts w:ascii="Times New Roman" w:hAnsi="Times New Roman" w:cs="Times New Roman"/>
          <w:sz w:val="28"/>
          <w:szCs w:val="28"/>
        </w:rPr>
        <w:br/>
      </w:r>
      <w:r w:rsidR="003D5BCB" w:rsidRPr="00651A12">
        <w:rPr>
          <w:rStyle w:val="apple-style-span"/>
          <w:rFonts w:ascii="Times New Roman" w:hAnsi="Times New Roman" w:cs="Times New Roman"/>
          <w:sz w:val="28"/>
          <w:szCs w:val="28"/>
          <w:shd w:val="clear" w:color="auto" w:fill="FFFFFF"/>
        </w:rPr>
        <w:t xml:space="preserve">    1.1.</w:t>
      </w:r>
      <w:r w:rsidRPr="00651A12">
        <w:rPr>
          <w:rStyle w:val="apple-style-span"/>
          <w:rFonts w:ascii="Times New Roman" w:hAnsi="Times New Roman" w:cs="Times New Roman"/>
          <w:sz w:val="28"/>
          <w:szCs w:val="28"/>
          <w:shd w:val="clear" w:color="auto" w:fill="FFFFFF"/>
        </w:rPr>
        <w:t xml:space="preserve"> </w:t>
      </w:r>
      <w:r w:rsidR="00877480" w:rsidRPr="00651A12">
        <w:rPr>
          <w:rStyle w:val="apple-style-span"/>
          <w:rFonts w:ascii="Times New Roman" w:hAnsi="Times New Roman" w:cs="Times New Roman"/>
          <w:sz w:val="28"/>
          <w:szCs w:val="28"/>
          <w:shd w:val="clear" w:color="auto" w:fill="FFFFFF"/>
        </w:rPr>
        <w:t xml:space="preserve">Понятие и </w:t>
      </w:r>
      <w:r w:rsidR="00467C7E" w:rsidRPr="00651A12">
        <w:rPr>
          <w:rStyle w:val="apple-style-span"/>
          <w:rFonts w:ascii="Times New Roman" w:hAnsi="Times New Roman" w:cs="Times New Roman"/>
          <w:sz w:val="28"/>
          <w:szCs w:val="28"/>
          <w:shd w:val="clear" w:color="auto" w:fill="FFFFFF"/>
        </w:rPr>
        <w:t>сущность</w:t>
      </w:r>
      <w:r w:rsidR="00877480" w:rsidRPr="00651A12">
        <w:rPr>
          <w:rStyle w:val="apple-style-span"/>
          <w:rFonts w:ascii="Times New Roman" w:hAnsi="Times New Roman" w:cs="Times New Roman"/>
          <w:sz w:val="28"/>
          <w:szCs w:val="28"/>
          <w:shd w:val="clear" w:color="auto" w:fill="FFFFFF"/>
        </w:rPr>
        <w:t xml:space="preserve"> </w:t>
      </w:r>
      <w:r w:rsidR="00337675" w:rsidRPr="00651A12">
        <w:rPr>
          <w:rStyle w:val="apple-style-span"/>
          <w:rFonts w:ascii="Times New Roman" w:hAnsi="Times New Roman" w:cs="Times New Roman"/>
          <w:sz w:val="28"/>
          <w:szCs w:val="28"/>
          <w:shd w:val="clear" w:color="auto" w:fill="FFFFFF"/>
        </w:rPr>
        <w:t xml:space="preserve">слияний и поглощений </w:t>
      </w:r>
    </w:p>
    <w:p w14:paraId="377EB772" w14:textId="3011A5CF" w:rsidR="00467C7E" w:rsidRPr="00651A12" w:rsidRDefault="003D5BCB" w:rsidP="006828FC">
      <w:pPr>
        <w:pStyle w:val="NoSpacing"/>
        <w:spacing w:line="360" w:lineRule="auto"/>
        <w:ind w:right="-1" w:firstLine="284"/>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1.2. </w:t>
      </w:r>
      <w:r w:rsidR="00467C7E" w:rsidRPr="00651A12">
        <w:rPr>
          <w:rStyle w:val="apple-style-span"/>
          <w:rFonts w:ascii="Times New Roman" w:hAnsi="Times New Roman" w:cs="Times New Roman"/>
          <w:sz w:val="28"/>
          <w:szCs w:val="28"/>
          <w:shd w:val="clear" w:color="auto" w:fill="FFFFFF"/>
        </w:rPr>
        <w:t>Типы и клас</w:t>
      </w:r>
      <w:r w:rsidR="004426E0" w:rsidRPr="00651A12">
        <w:rPr>
          <w:rStyle w:val="apple-style-span"/>
          <w:rFonts w:ascii="Times New Roman" w:hAnsi="Times New Roman" w:cs="Times New Roman"/>
          <w:sz w:val="28"/>
          <w:szCs w:val="28"/>
          <w:shd w:val="clear" w:color="auto" w:fill="FFFFFF"/>
        </w:rPr>
        <w:t>сификация слияний и поглощений</w:t>
      </w:r>
    </w:p>
    <w:p w14:paraId="7297EA9B" w14:textId="0E992C5F" w:rsidR="003D5BCB" w:rsidRPr="00651A12" w:rsidRDefault="00467C7E" w:rsidP="006828FC">
      <w:pPr>
        <w:pStyle w:val="NoSpacing"/>
        <w:spacing w:line="360" w:lineRule="auto"/>
        <w:ind w:right="-1" w:firstLine="284"/>
        <w:rPr>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1.3. </w:t>
      </w:r>
      <w:r w:rsidR="00877480" w:rsidRPr="00651A12">
        <w:rPr>
          <w:rStyle w:val="apple-style-span"/>
          <w:rFonts w:ascii="Times New Roman" w:hAnsi="Times New Roman" w:cs="Times New Roman"/>
          <w:sz w:val="28"/>
          <w:szCs w:val="28"/>
          <w:shd w:val="clear" w:color="auto" w:fill="FFFFFF"/>
        </w:rPr>
        <w:t xml:space="preserve">Основные </w:t>
      </w:r>
      <w:r w:rsidRPr="00651A12">
        <w:rPr>
          <w:rStyle w:val="apple-style-span"/>
          <w:rFonts w:ascii="Times New Roman" w:hAnsi="Times New Roman" w:cs="Times New Roman"/>
          <w:sz w:val="28"/>
          <w:szCs w:val="28"/>
          <w:shd w:val="clear" w:color="auto" w:fill="FFFFFF"/>
        </w:rPr>
        <w:t>мотивы и факторы активизации сделок</w:t>
      </w:r>
    </w:p>
    <w:p w14:paraId="49102881" w14:textId="6038DD1F" w:rsidR="003D5BCB" w:rsidRPr="00651A12" w:rsidRDefault="003D5BCB" w:rsidP="006828FC">
      <w:pPr>
        <w:pStyle w:val="NoSpacing"/>
        <w:spacing w:line="360" w:lineRule="auto"/>
        <w:ind w:right="-1" w:firstLine="284"/>
        <w:rPr>
          <w:rFonts w:ascii="Times New Roman" w:hAnsi="Times New Roman" w:cs="Times New Roman"/>
          <w:sz w:val="28"/>
          <w:szCs w:val="28"/>
        </w:rPr>
      </w:pPr>
      <w:r w:rsidRPr="00651A12">
        <w:rPr>
          <w:rStyle w:val="apple-style-span"/>
          <w:rFonts w:ascii="Times New Roman" w:hAnsi="Times New Roman" w:cs="Times New Roman"/>
          <w:b/>
          <w:sz w:val="28"/>
          <w:szCs w:val="28"/>
          <w:shd w:val="clear" w:color="auto" w:fill="FFFFFF"/>
        </w:rPr>
        <w:t xml:space="preserve">Глава 2. </w:t>
      </w:r>
      <w:r w:rsidR="00590EC4" w:rsidRPr="00651A12">
        <w:rPr>
          <w:rStyle w:val="apple-style-span"/>
          <w:rFonts w:ascii="Times New Roman" w:hAnsi="Times New Roman" w:cs="Times New Roman"/>
          <w:b/>
          <w:sz w:val="28"/>
          <w:szCs w:val="28"/>
          <w:shd w:val="clear" w:color="auto" w:fill="FFFFFF"/>
        </w:rPr>
        <w:t xml:space="preserve"> </w:t>
      </w:r>
      <w:r w:rsidR="00FA4C08" w:rsidRPr="00651A12">
        <w:rPr>
          <w:rStyle w:val="apple-style-span"/>
          <w:rFonts w:ascii="Times New Roman" w:hAnsi="Times New Roman" w:cs="Times New Roman"/>
          <w:b/>
          <w:sz w:val="28"/>
          <w:szCs w:val="28"/>
          <w:shd w:val="clear" w:color="auto" w:fill="FFFFFF"/>
        </w:rPr>
        <w:t>Современное состояние российского банковского сектора</w:t>
      </w:r>
    </w:p>
    <w:p w14:paraId="37D209D5" w14:textId="77777777" w:rsidR="000578D2" w:rsidRPr="00651A12" w:rsidRDefault="003D5BCB" w:rsidP="006828FC">
      <w:pPr>
        <w:pStyle w:val="NoSpacing"/>
        <w:spacing w:line="360" w:lineRule="auto"/>
        <w:ind w:right="-1" w:firstLine="284"/>
        <w:rPr>
          <w:rFonts w:ascii="Times New Roman" w:hAnsi="Times New Roman" w:cs="Times New Roman"/>
          <w:sz w:val="28"/>
          <w:szCs w:val="28"/>
        </w:rPr>
      </w:pPr>
      <w:r w:rsidRPr="00651A12">
        <w:rPr>
          <w:rFonts w:ascii="Times New Roman" w:hAnsi="Times New Roman" w:cs="Times New Roman"/>
          <w:sz w:val="28"/>
          <w:szCs w:val="28"/>
        </w:rPr>
        <w:t xml:space="preserve">2.1. </w:t>
      </w:r>
      <w:r w:rsidR="000578D2" w:rsidRPr="00651A12">
        <w:rPr>
          <w:rFonts w:ascii="Times New Roman" w:hAnsi="Times New Roman" w:cs="Times New Roman"/>
          <w:sz w:val="28"/>
          <w:szCs w:val="28"/>
        </w:rPr>
        <w:t>Динамика основных показателей банковского рынка</w:t>
      </w:r>
    </w:p>
    <w:p w14:paraId="618D55EC" w14:textId="6E70171D" w:rsidR="003D5BCB" w:rsidRPr="00651A12" w:rsidRDefault="008E65F7" w:rsidP="006828FC">
      <w:pPr>
        <w:pStyle w:val="NoSpacing"/>
        <w:spacing w:line="360" w:lineRule="auto"/>
        <w:ind w:right="-1" w:firstLine="284"/>
        <w:rPr>
          <w:rFonts w:ascii="Times New Roman" w:hAnsi="Times New Roman" w:cs="Times New Roman"/>
          <w:sz w:val="28"/>
          <w:szCs w:val="28"/>
        </w:rPr>
      </w:pPr>
      <w:r w:rsidRPr="00651A12">
        <w:rPr>
          <w:rFonts w:ascii="Times New Roman" w:hAnsi="Times New Roman" w:cs="Times New Roman"/>
          <w:sz w:val="28"/>
          <w:szCs w:val="28"/>
        </w:rPr>
        <w:t>2.2.</w:t>
      </w:r>
      <w:r w:rsidR="003617C6" w:rsidRPr="00651A12">
        <w:rPr>
          <w:rFonts w:ascii="Times New Roman" w:hAnsi="Times New Roman" w:cs="Times New Roman"/>
          <w:sz w:val="28"/>
          <w:szCs w:val="28"/>
        </w:rPr>
        <w:t xml:space="preserve"> </w:t>
      </w:r>
      <w:r w:rsidR="000578D2" w:rsidRPr="00651A12">
        <w:rPr>
          <w:rFonts w:ascii="Times New Roman" w:hAnsi="Times New Roman" w:cs="Times New Roman"/>
          <w:sz w:val="28"/>
          <w:szCs w:val="28"/>
        </w:rPr>
        <w:t>Современные тенденции интеграции процессов в банковском секторе</w:t>
      </w:r>
    </w:p>
    <w:p w14:paraId="06261C06" w14:textId="20CE6AA7" w:rsidR="003D5BCB" w:rsidRPr="00651A12" w:rsidRDefault="003D5BCB" w:rsidP="006828FC">
      <w:pPr>
        <w:pStyle w:val="NoSpacing"/>
        <w:spacing w:line="360" w:lineRule="auto"/>
        <w:ind w:right="-1" w:firstLine="284"/>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2.3. </w:t>
      </w:r>
      <w:r w:rsidR="000578D2" w:rsidRPr="00651A12">
        <w:rPr>
          <w:rStyle w:val="apple-style-span"/>
          <w:rFonts w:ascii="Times New Roman" w:hAnsi="Times New Roman" w:cs="Times New Roman"/>
          <w:sz w:val="28"/>
          <w:szCs w:val="28"/>
          <w:shd w:val="clear" w:color="auto" w:fill="FFFFFF"/>
        </w:rPr>
        <w:t>С</w:t>
      </w:r>
      <w:r w:rsidR="003617C6" w:rsidRPr="00651A12">
        <w:rPr>
          <w:rStyle w:val="apple-style-span"/>
          <w:rFonts w:ascii="Times New Roman" w:hAnsi="Times New Roman" w:cs="Times New Roman"/>
          <w:sz w:val="28"/>
          <w:szCs w:val="28"/>
          <w:shd w:val="clear" w:color="auto" w:fill="FFFFFF"/>
        </w:rPr>
        <w:t>остояние банковских слияний и поглощений в России</w:t>
      </w:r>
    </w:p>
    <w:p w14:paraId="4F366643" w14:textId="77777777" w:rsidR="003D5BCB" w:rsidRPr="00651A12" w:rsidRDefault="003D5BCB" w:rsidP="006828FC">
      <w:pPr>
        <w:pStyle w:val="NoSpacing"/>
        <w:spacing w:line="360" w:lineRule="auto"/>
        <w:ind w:right="-1" w:firstLine="284"/>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 xml:space="preserve">Глава 3. </w:t>
      </w:r>
      <w:r w:rsidR="00590EC4" w:rsidRPr="00651A12">
        <w:rPr>
          <w:rStyle w:val="apple-style-span"/>
          <w:rFonts w:ascii="Times New Roman" w:hAnsi="Times New Roman" w:cs="Times New Roman"/>
          <w:b/>
          <w:sz w:val="28"/>
          <w:szCs w:val="28"/>
          <w:shd w:val="clear" w:color="auto" w:fill="FFFFFF"/>
        </w:rPr>
        <w:t>Участие иностранного капитала в банковской системе России</w:t>
      </w:r>
    </w:p>
    <w:p w14:paraId="2E5D35CE" w14:textId="366C58C4" w:rsidR="002A1D4D" w:rsidRPr="00651A12" w:rsidRDefault="00590EC4" w:rsidP="006828FC">
      <w:pPr>
        <w:pStyle w:val="NoSpacing"/>
        <w:spacing w:line="360" w:lineRule="auto"/>
        <w:ind w:right="-1" w:firstLine="284"/>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3.1. </w:t>
      </w:r>
      <w:r w:rsidR="002A1D4D" w:rsidRPr="00651A12">
        <w:rPr>
          <w:rStyle w:val="apple-style-span"/>
          <w:rFonts w:ascii="Times New Roman" w:hAnsi="Times New Roman" w:cs="Times New Roman"/>
          <w:sz w:val="28"/>
          <w:szCs w:val="28"/>
          <w:shd w:val="clear" w:color="auto" w:fill="FFFFFF"/>
        </w:rPr>
        <w:t>Особенности процесса иностранной экспансии на российский банковский рынок</w:t>
      </w:r>
    </w:p>
    <w:p w14:paraId="74FDF7DF" w14:textId="75962E31" w:rsidR="003D5BCB" w:rsidRPr="00651A12" w:rsidRDefault="002A1D4D" w:rsidP="006828FC">
      <w:pPr>
        <w:pStyle w:val="NoSpacing"/>
        <w:spacing w:line="360" w:lineRule="auto"/>
        <w:ind w:right="-1" w:firstLine="284"/>
        <w:rPr>
          <w:rFonts w:ascii="Times New Roman" w:hAnsi="Times New Roman" w:cs="Times New Roman"/>
          <w:sz w:val="28"/>
          <w:szCs w:val="28"/>
        </w:rPr>
      </w:pPr>
      <w:r w:rsidRPr="00651A12">
        <w:rPr>
          <w:rStyle w:val="apple-style-span"/>
          <w:rFonts w:ascii="Times New Roman" w:hAnsi="Times New Roman" w:cs="Times New Roman"/>
          <w:sz w:val="28"/>
          <w:szCs w:val="28"/>
          <w:shd w:val="clear" w:color="auto" w:fill="FFFFFF"/>
        </w:rPr>
        <w:t xml:space="preserve">3.2. </w:t>
      </w:r>
      <w:r w:rsidR="000518A6" w:rsidRPr="00651A12">
        <w:rPr>
          <w:rStyle w:val="apple-style-span"/>
          <w:rFonts w:ascii="Times New Roman" w:hAnsi="Times New Roman" w:cs="Times New Roman"/>
          <w:sz w:val="28"/>
          <w:szCs w:val="28"/>
          <w:shd w:val="clear" w:color="auto" w:fill="FFFFFF"/>
        </w:rPr>
        <w:t>Обзор стратегических целей</w:t>
      </w:r>
      <w:r w:rsidR="003E09C6" w:rsidRPr="00651A12">
        <w:rPr>
          <w:rStyle w:val="apple-style-span"/>
          <w:rFonts w:ascii="Times New Roman" w:hAnsi="Times New Roman" w:cs="Times New Roman"/>
          <w:sz w:val="28"/>
          <w:szCs w:val="28"/>
          <w:shd w:val="clear" w:color="auto" w:fill="FFFFFF"/>
        </w:rPr>
        <w:t xml:space="preserve"> экспансии иностранных банков</w:t>
      </w:r>
    </w:p>
    <w:p w14:paraId="4E1B168E" w14:textId="7AB775A9" w:rsidR="003D5BCB" w:rsidRPr="00651A12" w:rsidRDefault="002A1D4D" w:rsidP="006828FC">
      <w:pPr>
        <w:pStyle w:val="NoSpacing"/>
        <w:spacing w:line="360" w:lineRule="auto"/>
        <w:ind w:right="-1" w:firstLine="284"/>
        <w:rPr>
          <w:rStyle w:val="apple-style-span"/>
          <w:rFonts w:ascii="Times New Roman" w:hAnsi="Times New Roman" w:cs="Times New Roman"/>
          <w:sz w:val="28"/>
          <w:szCs w:val="28"/>
          <w:shd w:val="clear" w:color="auto" w:fill="FFFFFF"/>
        </w:rPr>
      </w:pPr>
      <w:r w:rsidRPr="00651A12">
        <w:rPr>
          <w:rFonts w:ascii="Times New Roman" w:hAnsi="Times New Roman" w:cs="Times New Roman"/>
          <w:bCs/>
          <w:sz w:val="28"/>
          <w:szCs w:val="28"/>
          <w:shd w:val="clear" w:color="auto" w:fill="FFFFFF"/>
        </w:rPr>
        <w:t>3.3</w:t>
      </w:r>
      <w:r w:rsidR="003D5BCB" w:rsidRPr="00651A12">
        <w:rPr>
          <w:rFonts w:ascii="Times New Roman" w:hAnsi="Times New Roman" w:cs="Times New Roman"/>
          <w:bCs/>
          <w:sz w:val="28"/>
          <w:szCs w:val="28"/>
          <w:shd w:val="clear" w:color="auto" w:fill="FFFFFF"/>
        </w:rPr>
        <w:t xml:space="preserve">. </w:t>
      </w:r>
      <w:r w:rsidR="003E09C6" w:rsidRPr="00651A12">
        <w:rPr>
          <w:rFonts w:ascii="Times New Roman" w:hAnsi="Times New Roman" w:cs="Times New Roman"/>
          <w:bCs/>
          <w:sz w:val="28"/>
          <w:szCs w:val="28"/>
          <w:shd w:val="clear" w:color="auto" w:fill="FFFFFF"/>
        </w:rPr>
        <w:t>Особенности процесса входа иностранных банков</w:t>
      </w:r>
      <w:r w:rsidRPr="00651A12">
        <w:rPr>
          <w:rFonts w:ascii="Times New Roman" w:hAnsi="Times New Roman" w:cs="Times New Roman"/>
          <w:bCs/>
          <w:sz w:val="28"/>
          <w:szCs w:val="28"/>
          <w:shd w:val="clear" w:color="auto" w:fill="FFFFFF"/>
        </w:rPr>
        <w:t xml:space="preserve"> на российский финансовый рынок</w:t>
      </w:r>
    </w:p>
    <w:p w14:paraId="42EE75A6" w14:textId="77777777" w:rsidR="003D5BCB" w:rsidRPr="00651A12" w:rsidRDefault="003D5BCB" w:rsidP="006828FC">
      <w:pPr>
        <w:pStyle w:val="NoSpacing"/>
        <w:spacing w:line="360" w:lineRule="auto"/>
        <w:ind w:right="-1" w:firstLine="284"/>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Заключение</w:t>
      </w:r>
    </w:p>
    <w:p w14:paraId="51244C14" w14:textId="77777777" w:rsidR="003D5BCB" w:rsidRPr="00651A12" w:rsidRDefault="003D5BCB" w:rsidP="006828FC">
      <w:pPr>
        <w:pStyle w:val="NoSpacing"/>
        <w:spacing w:line="360" w:lineRule="auto"/>
        <w:ind w:right="-1" w:firstLine="284"/>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Список использованной литературы</w:t>
      </w:r>
    </w:p>
    <w:p w14:paraId="00AAEF52" w14:textId="77777777" w:rsidR="003D5BCB" w:rsidRPr="00651A12" w:rsidRDefault="003D5BCB" w:rsidP="006828FC">
      <w:pPr>
        <w:spacing w:line="360" w:lineRule="auto"/>
        <w:ind w:right="-1" w:firstLine="284"/>
        <w:jc w:val="both"/>
        <w:rPr>
          <w:rFonts w:cs="Times New Roman"/>
          <w:szCs w:val="28"/>
        </w:rPr>
      </w:pPr>
    </w:p>
    <w:p w14:paraId="31C39832" w14:textId="77777777" w:rsidR="00150101" w:rsidRDefault="00150101" w:rsidP="006828FC">
      <w:pPr>
        <w:spacing w:line="360" w:lineRule="auto"/>
        <w:ind w:right="-1" w:firstLine="284"/>
        <w:jc w:val="both"/>
        <w:rPr>
          <w:rFonts w:cs="Times New Roman"/>
          <w:szCs w:val="28"/>
        </w:rPr>
      </w:pPr>
    </w:p>
    <w:p w14:paraId="4B755247" w14:textId="77777777" w:rsidR="00651A12" w:rsidRDefault="00651A12" w:rsidP="006828FC">
      <w:pPr>
        <w:spacing w:line="360" w:lineRule="auto"/>
        <w:ind w:right="-1" w:firstLine="284"/>
        <w:jc w:val="both"/>
        <w:rPr>
          <w:rFonts w:cs="Times New Roman"/>
          <w:szCs w:val="28"/>
        </w:rPr>
      </w:pPr>
    </w:p>
    <w:p w14:paraId="6EE23B6B" w14:textId="77777777" w:rsidR="00651A12" w:rsidRPr="00651A12" w:rsidRDefault="00651A12" w:rsidP="006828FC">
      <w:pPr>
        <w:spacing w:line="360" w:lineRule="auto"/>
        <w:ind w:right="-1" w:firstLine="284"/>
        <w:jc w:val="both"/>
        <w:rPr>
          <w:rFonts w:cs="Times New Roman"/>
          <w:szCs w:val="28"/>
        </w:rPr>
      </w:pPr>
    </w:p>
    <w:p w14:paraId="66BD418F" w14:textId="77777777" w:rsidR="002A1D4D" w:rsidRPr="00651A12" w:rsidRDefault="002A1D4D" w:rsidP="006828FC">
      <w:pPr>
        <w:spacing w:line="360" w:lineRule="auto"/>
        <w:ind w:right="-1" w:firstLine="284"/>
        <w:jc w:val="both"/>
        <w:rPr>
          <w:rFonts w:cs="Times New Roman"/>
          <w:szCs w:val="28"/>
        </w:rPr>
      </w:pPr>
    </w:p>
    <w:p w14:paraId="37B27B66" w14:textId="77777777" w:rsidR="00150101" w:rsidRPr="00651A12" w:rsidRDefault="00150101" w:rsidP="006828FC">
      <w:pPr>
        <w:spacing w:line="360" w:lineRule="auto"/>
        <w:ind w:right="-1" w:firstLine="284"/>
        <w:jc w:val="both"/>
        <w:rPr>
          <w:rFonts w:cs="Times New Roman"/>
          <w:szCs w:val="28"/>
        </w:rPr>
      </w:pPr>
    </w:p>
    <w:p w14:paraId="5534D71A" w14:textId="77777777" w:rsidR="00150101" w:rsidRPr="00651A12" w:rsidRDefault="00150101" w:rsidP="006828FC">
      <w:pPr>
        <w:spacing w:line="360" w:lineRule="auto"/>
        <w:ind w:right="-1" w:firstLine="284"/>
        <w:jc w:val="both"/>
        <w:rPr>
          <w:rFonts w:cs="Times New Roman"/>
          <w:szCs w:val="28"/>
        </w:rPr>
      </w:pPr>
    </w:p>
    <w:p w14:paraId="672CD6E9" w14:textId="77777777" w:rsidR="00150101" w:rsidRPr="00651A12" w:rsidRDefault="00150101" w:rsidP="006828FC">
      <w:pPr>
        <w:spacing w:line="360" w:lineRule="auto"/>
        <w:ind w:right="-1" w:firstLine="284"/>
        <w:jc w:val="both"/>
        <w:rPr>
          <w:rFonts w:cs="Times New Roman"/>
          <w:szCs w:val="28"/>
        </w:rPr>
      </w:pPr>
    </w:p>
    <w:p w14:paraId="62D7847C" w14:textId="0102825C" w:rsidR="000518A6" w:rsidRPr="00651A12" w:rsidRDefault="000518A6" w:rsidP="006828FC">
      <w:pPr>
        <w:spacing w:line="360" w:lineRule="auto"/>
        <w:ind w:right="-1" w:firstLine="284"/>
        <w:jc w:val="both"/>
        <w:rPr>
          <w:rFonts w:cs="Times New Roman"/>
          <w:b/>
          <w:szCs w:val="28"/>
        </w:rPr>
      </w:pPr>
      <w:r w:rsidRPr="00651A12">
        <w:rPr>
          <w:rFonts w:cs="Times New Roman"/>
          <w:b/>
          <w:szCs w:val="28"/>
        </w:rPr>
        <w:t>Введение</w:t>
      </w:r>
    </w:p>
    <w:p w14:paraId="33809750" w14:textId="06F4BE4E" w:rsidR="000518A6" w:rsidRPr="00651A12" w:rsidRDefault="000518A6" w:rsidP="006828FC">
      <w:pPr>
        <w:spacing w:line="360" w:lineRule="auto"/>
        <w:ind w:right="-1" w:firstLine="284"/>
        <w:jc w:val="both"/>
        <w:rPr>
          <w:rFonts w:cs="Times New Roman"/>
          <w:szCs w:val="28"/>
        </w:rPr>
      </w:pPr>
      <w:r w:rsidRPr="00651A12">
        <w:rPr>
          <w:rFonts w:cs="Times New Roman"/>
          <w:szCs w:val="28"/>
        </w:rPr>
        <w:t>Система банковских слияний и поглощений является одним с наиболее важных процессов</w:t>
      </w:r>
      <w:r w:rsidR="00990449" w:rsidRPr="00651A12">
        <w:rPr>
          <w:rFonts w:cs="Times New Roman"/>
          <w:szCs w:val="28"/>
        </w:rPr>
        <w:t>, направленных на реформирование</w:t>
      </w:r>
      <w:r w:rsidRPr="00651A12">
        <w:rPr>
          <w:rFonts w:cs="Times New Roman"/>
          <w:szCs w:val="28"/>
        </w:rPr>
        <w:t xml:space="preserve"> банковского сектора в России на протяжении последних лет. Экон</w:t>
      </w:r>
      <w:r w:rsidR="00F12144" w:rsidRPr="00651A12">
        <w:rPr>
          <w:rFonts w:cs="Times New Roman"/>
          <w:szCs w:val="28"/>
        </w:rPr>
        <w:t xml:space="preserve">омический рост в России требует </w:t>
      </w:r>
      <w:r w:rsidRPr="00651A12">
        <w:rPr>
          <w:rFonts w:cs="Times New Roman"/>
          <w:szCs w:val="28"/>
        </w:rPr>
        <w:t>постоянных финансовых потоков во всю банковскую систему</w:t>
      </w:r>
      <w:r w:rsidR="00F12144" w:rsidRPr="00651A12">
        <w:rPr>
          <w:rFonts w:cs="Times New Roman"/>
          <w:szCs w:val="28"/>
        </w:rPr>
        <w:t>, которая в свою очередь в текущем состоянии не готова полностью обеспечивать реальный сектор экономики кредитными ресурсами и банковскими услугами по приемлемой цене, а также одинакового уровня качества сервиса во всех регионах страны.</w:t>
      </w:r>
      <w:r w:rsidR="00585578" w:rsidRPr="00651A12">
        <w:rPr>
          <w:rStyle w:val="FootnoteReference"/>
          <w:rFonts w:cs="Times New Roman"/>
          <w:szCs w:val="28"/>
        </w:rPr>
        <w:footnoteReference w:id="1"/>
      </w:r>
    </w:p>
    <w:p w14:paraId="59D5ACCF" w14:textId="6020CDE7" w:rsidR="00F752FB" w:rsidRPr="00651A12" w:rsidRDefault="00060C35" w:rsidP="006828FC">
      <w:pPr>
        <w:spacing w:line="360" w:lineRule="auto"/>
        <w:ind w:right="-1" w:firstLine="284"/>
        <w:jc w:val="both"/>
        <w:rPr>
          <w:rFonts w:cs="Times New Roman"/>
          <w:szCs w:val="28"/>
        </w:rPr>
      </w:pPr>
      <w:r w:rsidRPr="00651A12">
        <w:rPr>
          <w:rFonts w:cs="Times New Roman"/>
          <w:szCs w:val="28"/>
        </w:rPr>
        <w:t xml:space="preserve">В данной работе мы сконцентрируемся на банковских слияниях и поглощениях, потому что в </w:t>
      </w:r>
      <w:r w:rsidR="00CD566B" w:rsidRPr="00651A12">
        <w:rPr>
          <w:rFonts w:cs="Times New Roman"/>
          <w:szCs w:val="28"/>
        </w:rPr>
        <w:t>сейчас</w:t>
      </w:r>
      <w:r w:rsidRPr="00651A12">
        <w:rPr>
          <w:rFonts w:cs="Times New Roman"/>
          <w:szCs w:val="28"/>
        </w:rPr>
        <w:t xml:space="preserve"> этот сегмент является одним из наиболее быстро развивающихся секторов мировой экономики.</w:t>
      </w:r>
      <w:r w:rsidR="00465B64" w:rsidRPr="00651A12">
        <w:rPr>
          <w:rFonts w:cs="Times New Roman"/>
          <w:szCs w:val="28"/>
        </w:rPr>
        <w:t xml:space="preserve"> </w:t>
      </w:r>
      <w:r w:rsidR="00F752FB" w:rsidRPr="00651A12">
        <w:rPr>
          <w:rFonts w:cs="Times New Roman"/>
          <w:szCs w:val="28"/>
        </w:rPr>
        <w:t xml:space="preserve">Также мы оценим составляющие стратегического плана выхода иностранного банка на российский финансовый рынок путем использования сделок по слияниям и поглощениям. </w:t>
      </w:r>
      <w:r w:rsidR="00FE512C" w:rsidRPr="00651A12">
        <w:rPr>
          <w:rFonts w:cs="Times New Roman"/>
          <w:szCs w:val="28"/>
        </w:rPr>
        <w:t xml:space="preserve">В первой главе будет подробно рассмотрена методология и сущность слияний и поглощений, а также их различные формы и виды. Во второй главе мы </w:t>
      </w:r>
      <w:r w:rsidR="00585578" w:rsidRPr="00651A12">
        <w:rPr>
          <w:rFonts w:cs="Times New Roman"/>
          <w:szCs w:val="28"/>
        </w:rPr>
        <w:t>поговорим о текущей ситуации на</w:t>
      </w:r>
      <w:r w:rsidR="00FE512C" w:rsidRPr="00651A12">
        <w:rPr>
          <w:rFonts w:cs="Times New Roman"/>
          <w:szCs w:val="28"/>
        </w:rPr>
        <w:t xml:space="preserve"> </w:t>
      </w:r>
      <w:r w:rsidR="00585578" w:rsidRPr="00651A12">
        <w:rPr>
          <w:rFonts w:cs="Times New Roman"/>
          <w:szCs w:val="28"/>
        </w:rPr>
        <w:t>банковском рынке</w:t>
      </w:r>
      <w:r w:rsidR="00FE512C" w:rsidRPr="00651A12">
        <w:rPr>
          <w:rFonts w:cs="Times New Roman"/>
          <w:szCs w:val="28"/>
        </w:rPr>
        <w:t xml:space="preserve"> России и </w:t>
      </w:r>
      <w:r w:rsidR="00585578" w:rsidRPr="00651A12">
        <w:rPr>
          <w:rFonts w:cs="Times New Roman"/>
          <w:szCs w:val="28"/>
        </w:rPr>
        <w:t>проанализируем</w:t>
      </w:r>
      <w:r w:rsidR="00FE512C" w:rsidRPr="00651A12">
        <w:rPr>
          <w:rFonts w:cs="Times New Roman"/>
          <w:szCs w:val="28"/>
        </w:rPr>
        <w:t xml:space="preserve"> влияние сделок по слияниям и поглощениям на его различные показатели. В заключительной главе будет произведен</w:t>
      </w:r>
      <w:r w:rsidR="00585578" w:rsidRPr="00651A12">
        <w:rPr>
          <w:rFonts w:cs="Times New Roman"/>
          <w:szCs w:val="28"/>
        </w:rPr>
        <w:t xml:space="preserve"> подробный</w:t>
      </w:r>
      <w:r w:rsidR="00FE512C" w:rsidRPr="00651A12">
        <w:rPr>
          <w:rFonts w:cs="Times New Roman"/>
          <w:szCs w:val="28"/>
        </w:rPr>
        <w:t xml:space="preserve"> анализ одной из самых крупных сделок на российском банковском рынке по слиянию между </w:t>
      </w:r>
      <w:r w:rsidR="00585578" w:rsidRPr="00651A12">
        <w:rPr>
          <w:rStyle w:val="apple-style-span"/>
          <w:rFonts w:cs="Times New Roman"/>
          <w:szCs w:val="28"/>
          <w:shd w:val="clear" w:color="auto" w:fill="FFFFFF"/>
        </w:rPr>
        <w:t xml:space="preserve">«Raiffeisen International Bank-Holding» </w:t>
      </w:r>
      <w:r w:rsidR="00FE512C" w:rsidRPr="00651A12">
        <w:rPr>
          <w:rFonts w:cs="Times New Roman"/>
          <w:szCs w:val="28"/>
        </w:rPr>
        <w:t>и ОАО «Импэксбанк».</w:t>
      </w:r>
      <w:r w:rsidR="00585578" w:rsidRPr="00651A12">
        <w:rPr>
          <w:rFonts w:cs="Times New Roman"/>
          <w:szCs w:val="28"/>
        </w:rPr>
        <w:t xml:space="preserve"> В результате чего станет ясно насколько стратегия экспансии путем проведения сделок по слияниям и поглощениям является верным решением.</w:t>
      </w:r>
    </w:p>
    <w:p w14:paraId="46B8CF16" w14:textId="44F35211" w:rsidR="002724C8" w:rsidRPr="00651A12" w:rsidRDefault="002724C8" w:rsidP="006828FC">
      <w:pPr>
        <w:spacing w:line="360" w:lineRule="auto"/>
        <w:ind w:right="-1" w:firstLine="284"/>
        <w:jc w:val="both"/>
        <w:rPr>
          <w:rFonts w:cs="Times New Roman"/>
          <w:szCs w:val="28"/>
        </w:rPr>
      </w:pPr>
      <w:r w:rsidRPr="00651A12">
        <w:rPr>
          <w:rFonts w:cs="Times New Roman"/>
          <w:szCs w:val="28"/>
        </w:rPr>
        <w:t xml:space="preserve">Объектом данного исследования является </w:t>
      </w:r>
      <w:r w:rsidR="00857CF6" w:rsidRPr="00651A12">
        <w:rPr>
          <w:rFonts w:cs="Times New Roman"/>
          <w:szCs w:val="28"/>
        </w:rPr>
        <w:t>современна</w:t>
      </w:r>
      <w:r w:rsidR="00990449" w:rsidRPr="00651A12">
        <w:rPr>
          <w:rFonts w:cs="Times New Roman"/>
          <w:szCs w:val="28"/>
        </w:rPr>
        <w:t>я система слияний и поглощений банков</w:t>
      </w:r>
      <w:r w:rsidRPr="00651A12">
        <w:rPr>
          <w:rFonts w:cs="Times New Roman"/>
          <w:szCs w:val="28"/>
        </w:rPr>
        <w:t>, в то время как тезисом работы является предпосылка о том, что проблема недостаточности банковского финансирования в России может быть решена только с помощью слияний и поглощений с иностранными банками.</w:t>
      </w:r>
      <w:r w:rsidR="00416EED" w:rsidRPr="00651A12">
        <w:rPr>
          <w:rFonts w:cs="Times New Roman"/>
          <w:szCs w:val="28"/>
        </w:rPr>
        <w:t xml:space="preserve"> Предметом исследования </w:t>
      </w:r>
      <w:r w:rsidR="00857CF6" w:rsidRPr="00651A12">
        <w:rPr>
          <w:rFonts w:cs="Times New Roman"/>
          <w:szCs w:val="28"/>
        </w:rPr>
        <w:t xml:space="preserve">в дипломной работе </w:t>
      </w:r>
      <w:r w:rsidR="00416EED" w:rsidRPr="00651A12">
        <w:rPr>
          <w:rFonts w:cs="Times New Roman"/>
          <w:szCs w:val="28"/>
        </w:rPr>
        <w:t>является</w:t>
      </w:r>
      <w:r w:rsidR="00857CF6" w:rsidRPr="00651A12">
        <w:rPr>
          <w:rFonts w:cs="Times New Roman"/>
          <w:szCs w:val="28"/>
        </w:rPr>
        <w:t xml:space="preserve"> процессы экспансии иностранных банков на российский финансовый рынок.</w:t>
      </w:r>
    </w:p>
    <w:p w14:paraId="0B5CE3EE" w14:textId="4557E2D3" w:rsidR="002724C8" w:rsidRPr="00651A12" w:rsidRDefault="00CF0BA7" w:rsidP="006828FC">
      <w:pPr>
        <w:spacing w:line="360" w:lineRule="auto"/>
        <w:ind w:right="-1" w:firstLine="284"/>
        <w:jc w:val="both"/>
        <w:rPr>
          <w:rFonts w:cs="Times New Roman"/>
          <w:szCs w:val="28"/>
        </w:rPr>
      </w:pPr>
      <w:r w:rsidRPr="00651A12">
        <w:rPr>
          <w:rFonts w:cs="Times New Roman"/>
          <w:szCs w:val="28"/>
        </w:rPr>
        <w:t>Во время периода посткризисного восстановления России произошло значительное и заметное увеличение интенсивности процессов слияний и поглощений компаний, а в частности и банковского сектора.</w:t>
      </w:r>
      <w:r w:rsidR="009E6399" w:rsidRPr="00651A12">
        <w:rPr>
          <w:rStyle w:val="FootnoteReference"/>
          <w:rFonts w:cs="Times New Roman"/>
          <w:szCs w:val="28"/>
        </w:rPr>
        <w:footnoteReference w:id="2"/>
      </w:r>
      <w:r w:rsidR="009E6399" w:rsidRPr="00651A12">
        <w:rPr>
          <w:rFonts w:cs="Times New Roman"/>
          <w:szCs w:val="28"/>
        </w:rPr>
        <w:t xml:space="preserve"> </w:t>
      </w:r>
      <w:r w:rsidRPr="00651A12">
        <w:rPr>
          <w:rFonts w:cs="Times New Roman"/>
          <w:szCs w:val="28"/>
        </w:rPr>
        <w:t xml:space="preserve">Период с 2003 года по 2004 год можно назвать временем постепенной и умеренной экспансии, когда в основном проводилось множество переговоров </w:t>
      </w:r>
      <w:r w:rsidR="00267A40" w:rsidRPr="00651A12">
        <w:rPr>
          <w:rFonts w:cs="Times New Roman"/>
          <w:szCs w:val="28"/>
        </w:rPr>
        <w:t>со стороны иностранного банковского сектора</w:t>
      </w:r>
      <w:r w:rsidRPr="00651A12">
        <w:rPr>
          <w:rFonts w:cs="Times New Roman"/>
          <w:szCs w:val="28"/>
        </w:rPr>
        <w:t xml:space="preserve"> с целью приобретения российских </w:t>
      </w:r>
      <w:r w:rsidR="00267A40" w:rsidRPr="00651A12">
        <w:rPr>
          <w:rFonts w:cs="Times New Roman"/>
          <w:szCs w:val="28"/>
        </w:rPr>
        <w:t>банков и первоначального знакомства с местной спецификой</w:t>
      </w:r>
      <w:r w:rsidR="00CD566B" w:rsidRPr="00651A12">
        <w:rPr>
          <w:rFonts w:cs="Times New Roman"/>
          <w:szCs w:val="28"/>
        </w:rPr>
        <w:t xml:space="preserve"> работы</w:t>
      </w:r>
      <w:r w:rsidR="00267A40" w:rsidRPr="00651A12">
        <w:rPr>
          <w:rFonts w:cs="Times New Roman"/>
          <w:szCs w:val="28"/>
        </w:rPr>
        <w:t>.</w:t>
      </w:r>
      <w:r w:rsidR="00CD566B" w:rsidRPr="00651A12">
        <w:rPr>
          <w:rFonts w:cs="Times New Roman"/>
          <w:szCs w:val="28"/>
        </w:rPr>
        <w:t xml:space="preserve"> Иностранные банки также старались просто оценить и провести наблюдения за всем банковским сектором России. Но с 2005 по 2006 года данная экспансия перешла в более активный и открытый статус, как раз когда числа сделок по слияниям и поглощениям резко увеличилось</w:t>
      </w:r>
      <w:r w:rsidR="009E6399" w:rsidRPr="00651A12">
        <w:rPr>
          <w:rStyle w:val="FootnoteReference"/>
          <w:rFonts w:cs="Times New Roman"/>
          <w:szCs w:val="28"/>
        </w:rPr>
        <w:footnoteReference w:id="3"/>
      </w:r>
      <w:r w:rsidR="00CD566B" w:rsidRPr="00651A12">
        <w:rPr>
          <w:rFonts w:cs="Times New Roman"/>
          <w:szCs w:val="28"/>
        </w:rPr>
        <w:t xml:space="preserve">. Таким образом текущий период уже можно охарактеризовать как время серьезной экспансии иностранных банков на российский финансовый рынок, что включает создание новых правил и требований для обеих сторон. Необходимо отметить, что оценка влияния таких процессов на всю российскую экономику подчеркивает </w:t>
      </w:r>
      <w:r w:rsidR="00CD566B" w:rsidRPr="00651A12">
        <w:rPr>
          <w:rFonts w:cs="Times New Roman"/>
          <w:b/>
          <w:szCs w:val="28"/>
        </w:rPr>
        <w:t>значимость</w:t>
      </w:r>
      <w:r w:rsidR="00CD566B" w:rsidRPr="00651A12">
        <w:rPr>
          <w:rFonts w:cs="Times New Roman"/>
          <w:szCs w:val="28"/>
        </w:rPr>
        <w:t xml:space="preserve"> данного исследования.</w:t>
      </w:r>
    </w:p>
    <w:p w14:paraId="5192B1C0" w14:textId="03B9FF2D" w:rsidR="00E12183" w:rsidRPr="00651A12" w:rsidRDefault="00E12183" w:rsidP="006828FC">
      <w:pPr>
        <w:spacing w:line="360" w:lineRule="auto"/>
        <w:ind w:right="-1" w:firstLine="284"/>
        <w:jc w:val="both"/>
        <w:rPr>
          <w:rFonts w:cs="Times New Roman"/>
          <w:szCs w:val="28"/>
        </w:rPr>
      </w:pPr>
      <w:r w:rsidRPr="00651A12">
        <w:rPr>
          <w:rFonts w:cs="Times New Roman"/>
          <w:szCs w:val="28"/>
        </w:rPr>
        <w:t>Актуальность работы подчеркивается тем фактом, что в данном исследовании проводится качественный анализ последней информации о различных банковских слияниях и поглощениях, а также рассматривается текущая ситуация с разных сторон.</w:t>
      </w:r>
    </w:p>
    <w:p w14:paraId="117F0E75" w14:textId="73E39780" w:rsidR="00E12183" w:rsidRPr="00651A12" w:rsidRDefault="00E12183" w:rsidP="006828FC">
      <w:pPr>
        <w:spacing w:line="360" w:lineRule="auto"/>
        <w:ind w:right="-1" w:firstLine="284"/>
        <w:jc w:val="both"/>
        <w:rPr>
          <w:rFonts w:cs="Times New Roman"/>
          <w:szCs w:val="28"/>
        </w:rPr>
      </w:pPr>
      <w:r w:rsidRPr="00651A12">
        <w:rPr>
          <w:rFonts w:cs="Times New Roman"/>
          <w:szCs w:val="28"/>
        </w:rPr>
        <w:t>Стоит отметить, что факт</w:t>
      </w:r>
      <w:r w:rsidR="007F22ED" w:rsidRPr="00651A12">
        <w:rPr>
          <w:rFonts w:cs="Times New Roman"/>
          <w:szCs w:val="28"/>
        </w:rPr>
        <w:t xml:space="preserve"> усиления экспансии иностранных банков в основном связан с серьезным улучшением инвестиционной привлекательности России, а также с развитием сегмента потребительских банков, поэтому анализ и изучение текущей ситуации подчеркивает релевантность исследования.</w:t>
      </w:r>
      <w:r w:rsidR="00E64FEF" w:rsidRPr="00651A12">
        <w:rPr>
          <w:rFonts w:cs="Times New Roman"/>
          <w:szCs w:val="28"/>
        </w:rPr>
        <w:t xml:space="preserve"> Результаты этой работы могут также представлять определенный интерес для тех, чья научная деятельность связана с изучением банковского сектора, особенностей участия иностранных банков в российской финансовой системе,  а также современных трендов в мировой финансовой системе в целом.</w:t>
      </w:r>
    </w:p>
    <w:p w14:paraId="18174D28" w14:textId="1D311FDF" w:rsidR="00B21A6B" w:rsidRPr="00651A12" w:rsidRDefault="0008761B" w:rsidP="006828FC">
      <w:pPr>
        <w:spacing w:line="360" w:lineRule="auto"/>
        <w:ind w:right="-1" w:firstLine="284"/>
        <w:jc w:val="both"/>
        <w:rPr>
          <w:rFonts w:cs="Times New Roman"/>
          <w:szCs w:val="28"/>
        </w:rPr>
      </w:pPr>
      <w:r w:rsidRPr="00651A12">
        <w:rPr>
          <w:rFonts w:cs="Times New Roman"/>
          <w:szCs w:val="28"/>
        </w:rPr>
        <w:t>Ц</w:t>
      </w:r>
      <w:r w:rsidR="00B21A6B" w:rsidRPr="00651A12">
        <w:rPr>
          <w:rFonts w:cs="Times New Roman"/>
          <w:szCs w:val="28"/>
        </w:rPr>
        <w:t xml:space="preserve">ель работы состоит в </w:t>
      </w:r>
      <w:r w:rsidRPr="00651A12">
        <w:rPr>
          <w:rFonts w:cs="Times New Roman"/>
          <w:szCs w:val="28"/>
        </w:rPr>
        <w:t>выявлении особенностей использования инструментов слияний и поглощений при экспансии иностранных банков на российский финансовый рынок и анализе последних изменений в структуре банковского сектора России в результате этого процесса.</w:t>
      </w:r>
      <w:r w:rsidR="00B21A6B" w:rsidRPr="00651A12">
        <w:rPr>
          <w:rFonts w:cs="Times New Roman"/>
          <w:szCs w:val="28"/>
        </w:rPr>
        <w:t xml:space="preserve"> Таким образом, основ</w:t>
      </w:r>
      <w:r w:rsidR="00857CF6" w:rsidRPr="00651A12">
        <w:rPr>
          <w:rFonts w:cs="Times New Roman"/>
          <w:szCs w:val="28"/>
        </w:rPr>
        <w:t>ными задачами дипломной</w:t>
      </w:r>
      <w:r w:rsidR="00B21A6B" w:rsidRPr="00651A12">
        <w:rPr>
          <w:rFonts w:cs="Times New Roman"/>
          <w:szCs w:val="28"/>
        </w:rPr>
        <w:t xml:space="preserve"> работы являются:</w:t>
      </w:r>
    </w:p>
    <w:p w14:paraId="3395A2C9" w14:textId="23F3F6C7" w:rsidR="00016068" w:rsidRPr="00651A12" w:rsidRDefault="0008761B" w:rsidP="006828FC">
      <w:pPr>
        <w:pStyle w:val="ListParagraph"/>
        <w:numPr>
          <w:ilvl w:val="0"/>
          <w:numId w:val="3"/>
        </w:numPr>
        <w:spacing w:line="360" w:lineRule="auto"/>
        <w:ind w:left="0" w:right="-1" w:firstLine="284"/>
        <w:jc w:val="both"/>
        <w:rPr>
          <w:rFonts w:cs="Times New Roman"/>
          <w:szCs w:val="28"/>
        </w:rPr>
      </w:pPr>
      <w:r w:rsidRPr="00651A12">
        <w:rPr>
          <w:rFonts w:cs="Times New Roman"/>
          <w:szCs w:val="28"/>
        </w:rPr>
        <w:t>Рассмотреть теорию слияний и поглощений, а также различные формы экспансии</w:t>
      </w:r>
      <w:r w:rsidR="00016068" w:rsidRPr="00651A12">
        <w:rPr>
          <w:rFonts w:cs="Times New Roman"/>
          <w:szCs w:val="28"/>
        </w:rPr>
        <w:t>, чтобы определить теоретическое соотношение между данными понятиями;</w:t>
      </w:r>
    </w:p>
    <w:p w14:paraId="702DF61D" w14:textId="3ADEF139" w:rsidR="00585578" w:rsidRPr="00651A12" w:rsidRDefault="00016068" w:rsidP="006828FC">
      <w:pPr>
        <w:pStyle w:val="ListParagraph"/>
        <w:numPr>
          <w:ilvl w:val="0"/>
          <w:numId w:val="3"/>
        </w:numPr>
        <w:spacing w:line="360" w:lineRule="auto"/>
        <w:ind w:left="0" w:right="-1" w:firstLine="284"/>
        <w:jc w:val="both"/>
        <w:rPr>
          <w:rFonts w:cs="Times New Roman"/>
          <w:szCs w:val="28"/>
        </w:rPr>
      </w:pPr>
      <w:r w:rsidRPr="00651A12">
        <w:rPr>
          <w:rFonts w:cs="Times New Roman"/>
          <w:szCs w:val="28"/>
        </w:rPr>
        <w:t>Проанализировать текущее состояние</w:t>
      </w:r>
      <w:r w:rsidR="00585578" w:rsidRPr="00651A12">
        <w:rPr>
          <w:rFonts w:cs="Times New Roman"/>
          <w:szCs w:val="28"/>
        </w:rPr>
        <w:t xml:space="preserve"> российского банковского рынка </w:t>
      </w:r>
      <w:r w:rsidRPr="00651A12">
        <w:rPr>
          <w:rFonts w:cs="Times New Roman"/>
          <w:szCs w:val="28"/>
        </w:rPr>
        <w:t xml:space="preserve"> целью </w:t>
      </w:r>
      <w:r w:rsidR="00585578" w:rsidRPr="00651A12">
        <w:rPr>
          <w:rFonts w:cs="Times New Roman"/>
          <w:szCs w:val="28"/>
        </w:rPr>
        <w:t>изучения активизации сделок по слияниям и поглощениям и их влияния на данный сектор;</w:t>
      </w:r>
    </w:p>
    <w:p w14:paraId="52644041" w14:textId="27046089" w:rsidR="00B21A6B" w:rsidRPr="00651A12" w:rsidRDefault="00FA4C08" w:rsidP="006828FC">
      <w:pPr>
        <w:pStyle w:val="ListParagraph"/>
        <w:numPr>
          <w:ilvl w:val="0"/>
          <w:numId w:val="3"/>
        </w:numPr>
        <w:spacing w:line="360" w:lineRule="auto"/>
        <w:ind w:left="0" w:right="-1" w:firstLine="284"/>
        <w:jc w:val="both"/>
        <w:rPr>
          <w:rFonts w:cs="Times New Roman"/>
          <w:szCs w:val="28"/>
        </w:rPr>
      </w:pPr>
      <w:r w:rsidRPr="00651A12">
        <w:rPr>
          <w:rFonts w:cs="Times New Roman"/>
          <w:szCs w:val="28"/>
        </w:rPr>
        <w:t xml:space="preserve">Изучить заметные </w:t>
      </w:r>
      <w:r w:rsidR="00016068" w:rsidRPr="00651A12">
        <w:rPr>
          <w:rFonts w:cs="Times New Roman"/>
          <w:szCs w:val="28"/>
        </w:rPr>
        <w:t>при</w:t>
      </w:r>
      <w:r w:rsidRPr="00651A12">
        <w:rPr>
          <w:rFonts w:cs="Times New Roman"/>
          <w:szCs w:val="28"/>
        </w:rPr>
        <w:t>меры слияний и поглощений банков для выявления особенностей данного процесса как формы экспансии иностранных банков на российский финансовый рынок.</w:t>
      </w:r>
    </w:p>
    <w:p w14:paraId="7886052A" w14:textId="66E4F240" w:rsidR="009D07CA" w:rsidRPr="00651A12" w:rsidRDefault="009D07CA" w:rsidP="006828FC">
      <w:pPr>
        <w:spacing w:line="360" w:lineRule="auto"/>
        <w:ind w:right="-1" w:firstLine="284"/>
        <w:jc w:val="both"/>
        <w:rPr>
          <w:rFonts w:cs="Times New Roman"/>
          <w:szCs w:val="28"/>
        </w:rPr>
      </w:pPr>
      <w:r w:rsidRPr="00651A12">
        <w:rPr>
          <w:rFonts w:cs="Times New Roman"/>
          <w:szCs w:val="28"/>
        </w:rPr>
        <w:t xml:space="preserve">Литература, использованная при написании данной работы, включает в себя </w:t>
      </w:r>
      <w:r w:rsidR="00D23093" w:rsidRPr="00651A12">
        <w:rPr>
          <w:rFonts w:cs="Times New Roman"/>
          <w:szCs w:val="28"/>
        </w:rPr>
        <w:t xml:space="preserve">научные работы и издания, статьи российских и зарубежных авторов, а также новостные сводки </w:t>
      </w:r>
      <w:r w:rsidR="00FA4C08" w:rsidRPr="00651A12">
        <w:rPr>
          <w:rFonts w:cs="Times New Roman"/>
          <w:szCs w:val="28"/>
        </w:rPr>
        <w:t>авторитетных</w:t>
      </w:r>
      <w:r w:rsidR="00D23093" w:rsidRPr="00651A12">
        <w:rPr>
          <w:rFonts w:cs="Times New Roman"/>
          <w:szCs w:val="28"/>
        </w:rPr>
        <w:t xml:space="preserve"> газет и журналов.</w:t>
      </w:r>
    </w:p>
    <w:p w14:paraId="64A07FB7" w14:textId="77777777" w:rsidR="00465B64" w:rsidRPr="00651A12" w:rsidRDefault="00465B64" w:rsidP="006828FC">
      <w:pPr>
        <w:spacing w:line="360" w:lineRule="auto"/>
        <w:ind w:right="-1" w:firstLine="284"/>
        <w:jc w:val="both"/>
        <w:rPr>
          <w:rFonts w:cs="Times New Roman"/>
          <w:szCs w:val="28"/>
        </w:rPr>
      </w:pPr>
    </w:p>
    <w:p w14:paraId="3E3D9A03" w14:textId="77777777" w:rsidR="00150101" w:rsidRPr="00651A12" w:rsidRDefault="00150101" w:rsidP="006828FC">
      <w:pPr>
        <w:spacing w:line="360" w:lineRule="auto"/>
        <w:ind w:right="-1" w:firstLine="284"/>
        <w:jc w:val="both"/>
        <w:rPr>
          <w:rFonts w:cs="Times New Roman"/>
          <w:szCs w:val="28"/>
        </w:rPr>
      </w:pPr>
    </w:p>
    <w:p w14:paraId="7ED3E3CB" w14:textId="77777777" w:rsidR="00150101" w:rsidRPr="00651A12" w:rsidRDefault="00150101" w:rsidP="006828FC">
      <w:pPr>
        <w:spacing w:line="360" w:lineRule="auto"/>
        <w:ind w:right="-1" w:firstLine="284"/>
        <w:jc w:val="both"/>
        <w:rPr>
          <w:rFonts w:cs="Times New Roman"/>
          <w:szCs w:val="28"/>
        </w:rPr>
      </w:pPr>
    </w:p>
    <w:p w14:paraId="5095F1B0" w14:textId="77777777" w:rsidR="00585578" w:rsidRPr="00651A12" w:rsidRDefault="00585578" w:rsidP="006828FC">
      <w:pPr>
        <w:spacing w:line="360" w:lineRule="auto"/>
        <w:ind w:right="-1" w:firstLine="284"/>
        <w:jc w:val="both"/>
        <w:rPr>
          <w:rFonts w:cs="Times New Roman"/>
          <w:szCs w:val="28"/>
          <w:lang w:val="en-US"/>
        </w:rPr>
      </w:pPr>
    </w:p>
    <w:p w14:paraId="1EEF979A" w14:textId="77777777" w:rsidR="00150101" w:rsidRPr="00651A12" w:rsidRDefault="00150101" w:rsidP="006828FC">
      <w:pPr>
        <w:spacing w:line="360" w:lineRule="auto"/>
        <w:ind w:right="-1" w:firstLine="284"/>
        <w:jc w:val="both"/>
        <w:rPr>
          <w:rFonts w:cs="Times New Roman"/>
          <w:szCs w:val="28"/>
        </w:rPr>
      </w:pPr>
    </w:p>
    <w:p w14:paraId="05359D40" w14:textId="3BB7D507" w:rsidR="00337675" w:rsidRPr="00651A12" w:rsidRDefault="00D23093" w:rsidP="006828FC">
      <w:pPr>
        <w:tabs>
          <w:tab w:val="left" w:pos="142"/>
        </w:tabs>
        <w:spacing w:line="360" w:lineRule="auto"/>
        <w:ind w:right="-1" w:firstLine="284"/>
        <w:jc w:val="both"/>
        <w:rPr>
          <w:rStyle w:val="apple-style-span"/>
          <w:rFonts w:cs="Times New Roman"/>
          <w:b/>
          <w:szCs w:val="28"/>
          <w:shd w:val="clear" w:color="auto" w:fill="FFFFFF"/>
        </w:rPr>
      </w:pPr>
      <w:r w:rsidRPr="00651A12">
        <w:rPr>
          <w:rStyle w:val="apple-style-span"/>
          <w:rFonts w:cs="Times New Roman"/>
          <w:b/>
          <w:szCs w:val="28"/>
          <w:shd w:val="clear" w:color="auto" w:fill="FFFFFF"/>
        </w:rPr>
        <w:t xml:space="preserve">Глава 1. Слияния и </w:t>
      </w:r>
      <w:r w:rsidR="008221E4" w:rsidRPr="00651A12">
        <w:rPr>
          <w:rStyle w:val="apple-style-span"/>
          <w:rFonts w:cs="Times New Roman"/>
          <w:b/>
          <w:szCs w:val="28"/>
          <w:shd w:val="clear" w:color="auto" w:fill="FFFFFF"/>
        </w:rPr>
        <w:t>поглощения как форма экспансии компании на зарубежный рынок</w:t>
      </w:r>
    </w:p>
    <w:p w14:paraId="0F9AFF9E" w14:textId="4738A2A5" w:rsidR="00337675" w:rsidRPr="00651A12" w:rsidRDefault="002A1D4D" w:rsidP="006828FC">
      <w:pPr>
        <w:pStyle w:val="ListParagraph"/>
        <w:numPr>
          <w:ilvl w:val="1"/>
          <w:numId w:val="9"/>
        </w:numPr>
        <w:tabs>
          <w:tab w:val="left" w:pos="142"/>
        </w:tabs>
        <w:spacing w:line="360" w:lineRule="auto"/>
        <w:ind w:left="0" w:right="-1" w:firstLine="284"/>
        <w:jc w:val="both"/>
        <w:rPr>
          <w:rStyle w:val="apple-style-span"/>
          <w:rFonts w:cs="Times New Roman"/>
          <w:b/>
          <w:szCs w:val="28"/>
          <w:shd w:val="clear" w:color="auto" w:fill="FFFFFF"/>
        </w:rPr>
      </w:pPr>
      <w:r w:rsidRPr="00651A12">
        <w:rPr>
          <w:rStyle w:val="apple-style-span"/>
          <w:rFonts w:cs="Times New Roman"/>
          <w:b/>
          <w:szCs w:val="28"/>
          <w:shd w:val="clear" w:color="auto" w:fill="FFFFFF"/>
        </w:rPr>
        <w:t xml:space="preserve"> </w:t>
      </w:r>
      <w:r w:rsidR="000578D2" w:rsidRPr="00651A12">
        <w:rPr>
          <w:rStyle w:val="apple-style-span"/>
          <w:rFonts w:cs="Times New Roman"/>
          <w:b/>
          <w:szCs w:val="28"/>
          <w:shd w:val="clear" w:color="auto" w:fill="FFFFFF"/>
        </w:rPr>
        <w:t>Понятие и сущность слия</w:t>
      </w:r>
      <w:r w:rsidR="008221E4" w:rsidRPr="00651A12">
        <w:rPr>
          <w:rStyle w:val="apple-style-span"/>
          <w:rFonts w:cs="Times New Roman"/>
          <w:b/>
          <w:szCs w:val="28"/>
          <w:shd w:val="clear" w:color="auto" w:fill="FFFFFF"/>
        </w:rPr>
        <w:t>ний и поглощений</w:t>
      </w:r>
    </w:p>
    <w:p w14:paraId="68D2B9F6" w14:textId="2021826E" w:rsidR="000C49EF" w:rsidRPr="00651A12" w:rsidRDefault="000C49EF" w:rsidP="006828FC">
      <w:pPr>
        <w:pStyle w:val="ListParagraph"/>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Одной из развивающихся тенденций на мировом рынке является нарастание процессов глобализации, что приводит к росту влияния международных компаний на функционирование всего мирового хозяйства. С помощью использования своей финансовой и производственной мощи наиболее крупные из них оказывают серьезное давление на локальных игроков на рынке, устанавливая свои стандарты во многих</w:t>
      </w:r>
      <w:r w:rsidR="0000668E" w:rsidRPr="00651A12">
        <w:rPr>
          <w:rStyle w:val="apple-style-span"/>
          <w:rFonts w:cs="Times New Roman"/>
          <w:szCs w:val="28"/>
          <w:shd w:val="clear" w:color="auto" w:fill="FFFFFF"/>
        </w:rPr>
        <w:t xml:space="preserve"> экономических и социальных сферах.</w:t>
      </w:r>
    </w:p>
    <w:p w14:paraId="40957520" w14:textId="2184BC91" w:rsidR="0000668E" w:rsidRPr="00651A12" w:rsidRDefault="0000668E" w:rsidP="006828FC">
      <w:pPr>
        <w:pStyle w:val="ListParagraph"/>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Международные компании стремятся к расширению своего присутствия на разных рынках, в результате чего постоянно стремятся к осуществлению активной экспансии в новые рыночные сегменты, используя при этом разнообразные формы освоение мирового рынка. Подобные формы во многом базируются на контрактных отношениях и никак не связаны с принятием участия в акционерном капитале других фирм. К основным формам экспансии международных компаний можно отнести:</w:t>
      </w:r>
      <w:r w:rsidR="00901955" w:rsidRPr="00651A12">
        <w:rPr>
          <w:rStyle w:val="FootnoteReference"/>
          <w:rFonts w:cs="Times New Roman"/>
          <w:szCs w:val="28"/>
          <w:shd w:val="clear" w:color="auto" w:fill="FFFFFF"/>
        </w:rPr>
        <w:footnoteReference w:id="4"/>
      </w:r>
    </w:p>
    <w:p w14:paraId="2C0F9A69" w14:textId="42E22393"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франчайзинг</w:t>
      </w:r>
    </w:p>
    <w:p w14:paraId="6DA3813D" w14:textId="36DDB707"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лицензирование</w:t>
      </w:r>
    </w:p>
    <w:p w14:paraId="10696894" w14:textId="4DAF506F"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управленческие контракты</w:t>
      </w:r>
    </w:p>
    <w:p w14:paraId="72C36966" w14:textId="74C11814"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слияния и поглощения</w:t>
      </w:r>
    </w:p>
    <w:p w14:paraId="59AD9F32" w14:textId="2EC5AC15"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создание совместных предприятия</w:t>
      </w:r>
    </w:p>
    <w:p w14:paraId="70675BFF" w14:textId="083E5C2B" w:rsidR="0000668E" w:rsidRPr="00651A12" w:rsidRDefault="0000668E" w:rsidP="006828FC">
      <w:pPr>
        <w:pStyle w:val="ListParagraph"/>
        <w:numPr>
          <w:ilvl w:val="0"/>
          <w:numId w:val="24"/>
        </w:numPr>
        <w:tabs>
          <w:tab w:val="left" w:pos="142"/>
        </w:tabs>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оказание маркетинговых и технических услуг</w:t>
      </w:r>
    </w:p>
    <w:p w14:paraId="17A22B4E" w14:textId="39723662" w:rsidR="0000668E" w:rsidRPr="00651A12" w:rsidRDefault="0000668E" w:rsidP="006828FC">
      <w:pPr>
        <w:tabs>
          <w:tab w:val="left" w:pos="142"/>
        </w:tabs>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На практике достаточно сложно разграничить данные формы экспансии, так как они часто используются совместно и тесно связаны друг с другом. </w:t>
      </w:r>
    </w:p>
    <w:p w14:paraId="1296ACDC" w14:textId="74F180A9" w:rsidR="0000668E" w:rsidRPr="00651A12" w:rsidRDefault="0000668E" w:rsidP="006828FC">
      <w:pPr>
        <w:tabs>
          <w:tab w:val="left" w:pos="142"/>
        </w:tabs>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В данной работе мы рассмотрим одну из наиболее </w:t>
      </w:r>
      <w:r w:rsidR="00A878DF" w:rsidRPr="00651A12">
        <w:rPr>
          <w:rStyle w:val="apple-style-span"/>
          <w:rFonts w:cs="Times New Roman"/>
          <w:szCs w:val="28"/>
          <w:shd w:val="clear" w:color="auto" w:fill="FFFFFF"/>
        </w:rPr>
        <w:t>крупных форм экспансии, как слияние и поглощение компаний, которая позволяет в короткие сроки резко увеличить свое присутствие в определенном регионе или сегменте рынка.</w:t>
      </w:r>
    </w:p>
    <w:p w14:paraId="236C2AC5" w14:textId="4365DE70" w:rsidR="0092680E" w:rsidRPr="00651A12" w:rsidRDefault="0092680E" w:rsidP="006828FC">
      <w:pPr>
        <w:tabs>
          <w:tab w:val="left" w:pos="142"/>
        </w:tabs>
        <w:spacing w:line="360" w:lineRule="auto"/>
        <w:ind w:right="-1" w:firstLine="284"/>
        <w:jc w:val="both"/>
        <w:rPr>
          <w:rFonts w:cs="Times New Roman"/>
          <w:szCs w:val="28"/>
          <w:shd w:val="clear" w:color="auto" w:fill="FFFFFF"/>
        </w:rPr>
      </w:pPr>
      <w:r w:rsidRPr="00651A12">
        <w:rPr>
          <w:rFonts w:cs="Times New Roman"/>
          <w:szCs w:val="28"/>
        </w:rPr>
        <w:t xml:space="preserve">Слияния и поглощения имеют довольно долгую историю, но особенно в последнем десятилетии они стали ключевым фактором экономического развития. Слияния и поглощения не только имеют огромное влияние на все секторы мировой экономики, но и также направлены на экспансию и диверсификацию деятельности компаний. Более того слияния и поглощения приводят к развитию новых технологий и сегментов рынка, снижению совместных издержек и минимизации рисков. </w:t>
      </w:r>
    </w:p>
    <w:p w14:paraId="2ED3F03F" w14:textId="3F0963D3" w:rsidR="00BF7EAE" w:rsidRPr="00651A12" w:rsidRDefault="00BF7EAE" w:rsidP="006828FC">
      <w:pPr>
        <w:spacing w:line="360" w:lineRule="auto"/>
        <w:ind w:right="-1" w:firstLine="284"/>
        <w:jc w:val="both"/>
        <w:rPr>
          <w:rFonts w:cs="Times New Roman"/>
          <w:szCs w:val="28"/>
        </w:rPr>
      </w:pPr>
      <w:r w:rsidRPr="00651A12">
        <w:rPr>
          <w:rFonts w:cs="Times New Roman"/>
          <w:szCs w:val="28"/>
        </w:rPr>
        <w:t xml:space="preserve">В первую очередь </w:t>
      </w:r>
      <w:r w:rsidR="0092680E" w:rsidRPr="00651A12">
        <w:rPr>
          <w:rFonts w:cs="Times New Roman"/>
          <w:szCs w:val="28"/>
        </w:rPr>
        <w:t xml:space="preserve">в данной работе мы </w:t>
      </w:r>
      <w:r w:rsidRPr="00651A12">
        <w:rPr>
          <w:rFonts w:cs="Times New Roman"/>
          <w:szCs w:val="28"/>
        </w:rPr>
        <w:t xml:space="preserve">проанализируем основные понятия, которые необходимы для того, чтобы более подробно изучить выбранную тему дипломной работы. </w:t>
      </w:r>
    </w:p>
    <w:p w14:paraId="4A09EB9A" w14:textId="71F61142" w:rsidR="00BF7EAE" w:rsidRPr="00651A12" w:rsidRDefault="00BF7EAE" w:rsidP="006828FC">
      <w:pPr>
        <w:spacing w:line="360" w:lineRule="auto"/>
        <w:ind w:right="-1" w:firstLine="284"/>
        <w:jc w:val="both"/>
        <w:rPr>
          <w:rFonts w:cs="Times New Roman"/>
          <w:szCs w:val="28"/>
        </w:rPr>
      </w:pPr>
      <w:r w:rsidRPr="00651A12">
        <w:rPr>
          <w:rFonts w:cs="Times New Roman"/>
          <w:szCs w:val="28"/>
        </w:rPr>
        <w:t>Исходя из общепринятых зарубежных подх</w:t>
      </w:r>
      <w:r w:rsidR="0047569A" w:rsidRPr="00651A12">
        <w:rPr>
          <w:rFonts w:cs="Times New Roman"/>
          <w:szCs w:val="28"/>
        </w:rPr>
        <w:t>одов, слияния и поглощения являются частью корпоративной стратегии и управления компании, связанной с процессом покупки, продажи, разделения или объединения различных предприятий, что может компании работать более эффективно и развиваться быстрее в ее секторе или регионе.</w:t>
      </w:r>
      <w:r w:rsidR="002A768D" w:rsidRPr="00651A12">
        <w:rPr>
          <w:rStyle w:val="FootnoteReference"/>
          <w:rFonts w:cs="Times New Roman"/>
          <w:szCs w:val="28"/>
        </w:rPr>
        <w:footnoteReference w:id="5"/>
      </w:r>
    </w:p>
    <w:p w14:paraId="1B98D894" w14:textId="3969997B" w:rsidR="00F4071A" w:rsidRPr="00651A12" w:rsidRDefault="000D5AC2" w:rsidP="006828FC">
      <w:pPr>
        <w:spacing w:line="360" w:lineRule="auto"/>
        <w:ind w:right="-1" w:firstLine="284"/>
        <w:jc w:val="both"/>
        <w:rPr>
          <w:rFonts w:cs="Times New Roman"/>
          <w:szCs w:val="28"/>
        </w:rPr>
      </w:pPr>
      <w:r w:rsidRPr="00651A12">
        <w:rPr>
          <w:rFonts w:cs="Times New Roman"/>
          <w:szCs w:val="28"/>
        </w:rPr>
        <w:t xml:space="preserve">Стоит отметить некоторое различие между понятиями слияние и поглощение. Во время поглощения одна компания полностью берет другую компанию под свой контроль, зачастую путем полной скупки акций данного предприятия на бирже. В то время как </w:t>
      </w:r>
      <w:r w:rsidR="00A22823" w:rsidRPr="00651A12">
        <w:rPr>
          <w:rFonts w:cs="Times New Roman"/>
          <w:szCs w:val="28"/>
        </w:rPr>
        <w:t>слияние происходит, когда две или более фирмы соглашаются между собой в том, что продолжать деятельность совместно более выгодно и эффективно, чем работать отдельно. Такие сделки обычно относятся к равноправным слияниям, когда компании являются почти одинаковыми по своим размерам.</w:t>
      </w:r>
      <w:r w:rsidR="00F4071A" w:rsidRPr="00651A12">
        <w:rPr>
          <w:rFonts w:cs="Times New Roman"/>
          <w:szCs w:val="28"/>
        </w:rPr>
        <w:t xml:space="preserve"> </w:t>
      </w:r>
      <w:r w:rsidR="0092680E" w:rsidRPr="00651A12">
        <w:rPr>
          <w:rFonts w:cs="Times New Roman"/>
          <w:szCs w:val="28"/>
        </w:rPr>
        <w:t xml:space="preserve">При определении специфики слияний и поглощений может показаться, что все сделки должны совершаться и совершаются на равных условиях для обеих сторон, однако, модель равенства обычно является самым сложным вариантом интеграции. Почти любое слияние обычно подразумевает под собой поглощение, так как стратегия сильных </w:t>
      </w:r>
      <w:r w:rsidR="00C725B7" w:rsidRPr="00651A12">
        <w:rPr>
          <w:rFonts w:cs="Times New Roman"/>
          <w:szCs w:val="28"/>
        </w:rPr>
        <w:t>компаний всегда</w:t>
      </w:r>
      <w:r w:rsidR="0092680E" w:rsidRPr="00651A12">
        <w:rPr>
          <w:rFonts w:cs="Times New Roman"/>
          <w:szCs w:val="28"/>
        </w:rPr>
        <w:t xml:space="preserve"> </w:t>
      </w:r>
      <w:r w:rsidR="00C725B7" w:rsidRPr="00651A12">
        <w:rPr>
          <w:rFonts w:cs="Times New Roman"/>
          <w:szCs w:val="28"/>
        </w:rPr>
        <w:t xml:space="preserve">основывается на долгосрочном расширении своей </w:t>
      </w:r>
      <w:r w:rsidR="00010EB4" w:rsidRPr="00651A12">
        <w:rPr>
          <w:rFonts w:cs="Times New Roman"/>
          <w:szCs w:val="28"/>
        </w:rPr>
        <w:t>деятельности</w:t>
      </w:r>
      <w:r w:rsidR="0092680E" w:rsidRPr="00651A12">
        <w:rPr>
          <w:rFonts w:cs="Times New Roman"/>
          <w:szCs w:val="28"/>
        </w:rPr>
        <w:t xml:space="preserve">. Таким образом, на практике </w:t>
      </w:r>
      <w:r w:rsidR="00A22823" w:rsidRPr="00651A12">
        <w:rPr>
          <w:rFonts w:cs="Times New Roman"/>
          <w:szCs w:val="28"/>
        </w:rPr>
        <w:t>настоящие слияния случаются слишком редко. Обычно одна компания просто покупает другую, при этом позволяя ей открыто заявлять о том, что данная сделка носит характер слияния, хотя технически это все-таки поглощение слабой компании более сильной.</w:t>
      </w:r>
      <w:r w:rsidR="0092680E" w:rsidRPr="00651A12">
        <w:rPr>
          <w:rFonts w:cs="Times New Roman"/>
          <w:szCs w:val="28"/>
        </w:rPr>
        <w:t xml:space="preserve"> </w:t>
      </w:r>
      <w:r w:rsidR="00BA48D0" w:rsidRPr="00651A12">
        <w:rPr>
          <w:rFonts w:cs="Times New Roman"/>
          <w:szCs w:val="28"/>
        </w:rPr>
        <w:t>В</w:t>
      </w:r>
      <w:r w:rsidR="0092680E" w:rsidRPr="00651A12">
        <w:rPr>
          <w:rFonts w:cs="Times New Roman"/>
          <w:szCs w:val="28"/>
        </w:rPr>
        <w:t xml:space="preserve"> результате данных процессов в основном пог</w:t>
      </w:r>
      <w:r w:rsidR="00A83317" w:rsidRPr="00651A12">
        <w:rPr>
          <w:rFonts w:cs="Times New Roman"/>
          <w:szCs w:val="28"/>
        </w:rPr>
        <w:t>лощаются менее эффективные компании</w:t>
      </w:r>
      <w:r w:rsidR="0092680E" w:rsidRPr="00651A12">
        <w:rPr>
          <w:rFonts w:cs="Times New Roman"/>
          <w:szCs w:val="28"/>
        </w:rPr>
        <w:t xml:space="preserve"> с плохим уровнем управления. Поэтому </w:t>
      </w:r>
      <w:r w:rsidR="00F4071A" w:rsidRPr="00651A12">
        <w:rPr>
          <w:rFonts w:cs="Times New Roman"/>
          <w:szCs w:val="28"/>
        </w:rPr>
        <w:t>за рубежом данные понятие не получили такого строго разграничения как в российском законодательстве</w:t>
      </w:r>
      <w:r w:rsidR="0047523A" w:rsidRPr="00651A12">
        <w:rPr>
          <w:rFonts w:cs="Times New Roman"/>
          <w:szCs w:val="28"/>
        </w:rPr>
        <w:t>.</w:t>
      </w:r>
      <w:r w:rsidR="0047523A" w:rsidRPr="00651A12">
        <w:rPr>
          <w:rStyle w:val="FootnoteReference"/>
          <w:rFonts w:cs="Times New Roman"/>
          <w:szCs w:val="28"/>
        </w:rPr>
        <w:footnoteReference w:id="6"/>
      </w:r>
    </w:p>
    <w:p w14:paraId="0C0C1C1F" w14:textId="35C6DD64" w:rsidR="00E10D68" w:rsidRPr="00651A12" w:rsidRDefault="00E10D68" w:rsidP="006828FC">
      <w:pPr>
        <w:spacing w:line="360" w:lineRule="auto"/>
        <w:ind w:right="-1" w:firstLine="284"/>
        <w:jc w:val="both"/>
        <w:rPr>
          <w:rFonts w:cs="Times New Roman"/>
          <w:szCs w:val="28"/>
        </w:rPr>
      </w:pPr>
      <w:r w:rsidRPr="00651A12">
        <w:rPr>
          <w:rFonts w:cs="Times New Roman"/>
          <w:szCs w:val="28"/>
        </w:rPr>
        <w:t xml:space="preserve">Тип слияний и поглощений зависит от </w:t>
      </w:r>
      <w:r w:rsidR="00990449" w:rsidRPr="00651A12">
        <w:rPr>
          <w:rFonts w:cs="Times New Roman"/>
          <w:szCs w:val="28"/>
        </w:rPr>
        <w:t>рыночных условий</w:t>
      </w:r>
      <w:r w:rsidRPr="00651A12">
        <w:rPr>
          <w:rFonts w:cs="Times New Roman"/>
          <w:szCs w:val="28"/>
        </w:rPr>
        <w:t xml:space="preserve">, а также от </w:t>
      </w:r>
      <w:r w:rsidR="00C725B7" w:rsidRPr="00651A12">
        <w:rPr>
          <w:rFonts w:cs="Times New Roman"/>
          <w:szCs w:val="28"/>
        </w:rPr>
        <w:t>стратегии компании</w:t>
      </w:r>
      <w:r w:rsidRPr="00651A12">
        <w:rPr>
          <w:rFonts w:cs="Times New Roman"/>
          <w:szCs w:val="28"/>
        </w:rPr>
        <w:t xml:space="preserve"> и располагаемых ресурсов. Более того слияния и поглощения имеют множество региональных особенностей</w:t>
      </w:r>
      <w:r w:rsidR="006F01BA" w:rsidRPr="00651A12">
        <w:rPr>
          <w:rFonts w:cs="Times New Roman"/>
          <w:szCs w:val="28"/>
        </w:rPr>
        <w:t xml:space="preserve"> в различных странах мира</w:t>
      </w:r>
      <w:r w:rsidRPr="00651A12">
        <w:rPr>
          <w:rFonts w:cs="Times New Roman"/>
          <w:szCs w:val="28"/>
        </w:rPr>
        <w:t xml:space="preserve">. Например, слияния мелких и средних банков является привычной ситуацией для Европы, в том время как в США происходят в основном слияния только крупных банков. </w:t>
      </w:r>
      <w:r w:rsidR="00C725B7" w:rsidRPr="00651A12">
        <w:rPr>
          <w:rFonts w:cs="Times New Roman"/>
          <w:szCs w:val="28"/>
        </w:rPr>
        <w:t>Ситуация в России является смешанной, так как хотя она в основном и похожа</w:t>
      </w:r>
      <w:r w:rsidRPr="00651A12">
        <w:rPr>
          <w:rFonts w:cs="Times New Roman"/>
          <w:szCs w:val="28"/>
        </w:rPr>
        <w:t xml:space="preserve"> на европейскую, </w:t>
      </w:r>
      <w:r w:rsidR="00C725B7" w:rsidRPr="00651A12">
        <w:rPr>
          <w:rFonts w:cs="Times New Roman"/>
          <w:szCs w:val="28"/>
        </w:rPr>
        <w:t>но</w:t>
      </w:r>
      <w:r w:rsidRPr="00651A12">
        <w:rPr>
          <w:rFonts w:cs="Times New Roman"/>
          <w:szCs w:val="28"/>
        </w:rPr>
        <w:t xml:space="preserve"> при этом имеется </w:t>
      </w:r>
      <w:r w:rsidR="00C725B7" w:rsidRPr="00651A12">
        <w:rPr>
          <w:rFonts w:cs="Times New Roman"/>
          <w:szCs w:val="28"/>
        </w:rPr>
        <w:t xml:space="preserve">большой </w:t>
      </w:r>
      <w:r w:rsidRPr="00651A12">
        <w:rPr>
          <w:rFonts w:cs="Times New Roman"/>
          <w:szCs w:val="28"/>
        </w:rPr>
        <w:t>ряд примеров слияний и поглощений крупных банков.</w:t>
      </w:r>
      <w:r w:rsidR="00E2321B" w:rsidRPr="00651A12">
        <w:rPr>
          <w:rStyle w:val="FootnoteReference"/>
          <w:rFonts w:cs="Times New Roman"/>
          <w:szCs w:val="28"/>
        </w:rPr>
        <w:footnoteReference w:id="7"/>
      </w:r>
    </w:p>
    <w:p w14:paraId="680C0A81" w14:textId="70FBAD14" w:rsidR="00136BF1" w:rsidRPr="00651A12" w:rsidRDefault="00E53B1A" w:rsidP="006828FC">
      <w:pPr>
        <w:spacing w:line="360" w:lineRule="auto"/>
        <w:ind w:right="-1" w:firstLine="284"/>
        <w:jc w:val="both"/>
        <w:rPr>
          <w:rFonts w:cs="Times New Roman"/>
          <w:szCs w:val="28"/>
          <w:lang w:val="en-US"/>
        </w:rPr>
      </w:pPr>
      <w:r w:rsidRPr="00651A12">
        <w:rPr>
          <w:rFonts w:cs="Times New Roman"/>
          <w:szCs w:val="28"/>
        </w:rPr>
        <w:t xml:space="preserve">В целом слияния и поглощения могут быть рассмотрены как возможности, которые способствуют расширению рынков, росту эффективности, снижению административных и организационных издержек и усилению конкурентных преимуществ. В дополнение к этому стратегические слияния и поглощения </w:t>
      </w:r>
      <w:r w:rsidR="00990449" w:rsidRPr="00651A12">
        <w:rPr>
          <w:rFonts w:cs="Times New Roman"/>
          <w:szCs w:val="28"/>
        </w:rPr>
        <w:t>приводят к достижению</w:t>
      </w:r>
      <w:r w:rsidRPr="00651A12">
        <w:rPr>
          <w:rFonts w:cs="Times New Roman"/>
          <w:szCs w:val="28"/>
        </w:rPr>
        <w:t xml:space="preserve"> </w:t>
      </w:r>
      <w:r w:rsidR="00990449" w:rsidRPr="00651A12">
        <w:rPr>
          <w:rFonts w:cs="Times New Roman"/>
          <w:szCs w:val="28"/>
        </w:rPr>
        <w:t>эффекта синергии</w:t>
      </w:r>
      <w:r w:rsidRPr="00651A12">
        <w:rPr>
          <w:rFonts w:cs="Times New Roman"/>
          <w:szCs w:val="28"/>
        </w:rPr>
        <w:t xml:space="preserve"> во всех его формах.</w:t>
      </w:r>
    </w:p>
    <w:p w14:paraId="1CF62542" w14:textId="2D79C8E1" w:rsidR="00DD634C" w:rsidRPr="00651A12" w:rsidRDefault="00DD634C" w:rsidP="006828FC">
      <w:pPr>
        <w:spacing w:line="360" w:lineRule="auto"/>
        <w:ind w:right="-1" w:firstLine="284"/>
        <w:jc w:val="both"/>
        <w:rPr>
          <w:rFonts w:cs="Times New Roman"/>
          <w:szCs w:val="28"/>
        </w:rPr>
      </w:pPr>
      <w:r w:rsidRPr="00651A12">
        <w:rPr>
          <w:rFonts w:cs="Times New Roman"/>
          <w:szCs w:val="28"/>
        </w:rPr>
        <w:t xml:space="preserve">Важно отметить, что при выходе на новые рынки и принятии решения об осуществлении сделки по слиянию или поглощению, </w:t>
      </w:r>
      <w:r w:rsidR="00C725B7" w:rsidRPr="00651A12">
        <w:rPr>
          <w:rFonts w:cs="Times New Roman"/>
          <w:szCs w:val="28"/>
        </w:rPr>
        <w:t>компаниям</w:t>
      </w:r>
      <w:r w:rsidRPr="00651A12">
        <w:rPr>
          <w:rFonts w:cs="Times New Roman"/>
          <w:szCs w:val="28"/>
        </w:rPr>
        <w:t xml:space="preserve"> приходится принимать множество стратегических решений о дальнейшем развитии своего бизнеса, учитывая при этом характер осуществляемой сд</w:t>
      </w:r>
      <w:r w:rsidR="00A83317" w:rsidRPr="00651A12">
        <w:rPr>
          <w:rFonts w:cs="Times New Roman"/>
          <w:szCs w:val="28"/>
        </w:rPr>
        <w:t>елки и тип другой присоединяемой компании</w:t>
      </w:r>
      <w:r w:rsidRPr="00651A12">
        <w:rPr>
          <w:rFonts w:cs="Times New Roman"/>
          <w:szCs w:val="28"/>
        </w:rPr>
        <w:t xml:space="preserve">. Основополагающими критериями  определения такой стратегии является оценка соответствия данного слияния или поглощения общей стратегии развития </w:t>
      </w:r>
      <w:r w:rsidR="00C725B7" w:rsidRPr="00651A12">
        <w:rPr>
          <w:rFonts w:cs="Times New Roman"/>
          <w:szCs w:val="28"/>
        </w:rPr>
        <w:t>компании</w:t>
      </w:r>
      <w:r w:rsidRPr="00651A12">
        <w:rPr>
          <w:rFonts w:cs="Times New Roman"/>
          <w:szCs w:val="28"/>
        </w:rPr>
        <w:t xml:space="preserve">, в </w:t>
      </w:r>
      <w:r w:rsidR="00C725B7" w:rsidRPr="00651A12">
        <w:rPr>
          <w:rFonts w:cs="Times New Roman"/>
          <w:szCs w:val="28"/>
        </w:rPr>
        <w:t>частности целям и миссии данной организации. Компании</w:t>
      </w:r>
      <w:r w:rsidRPr="00651A12">
        <w:rPr>
          <w:rFonts w:cs="Times New Roman"/>
          <w:szCs w:val="28"/>
        </w:rPr>
        <w:t xml:space="preserve"> необходимо определить процесс принятия последующих решений, сопоставляя основные разделы</w:t>
      </w:r>
      <w:r w:rsidR="00C725B7" w:rsidRPr="00651A12">
        <w:rPr>
          <w:rFonts w:cs="Times New Roman"/>
          <w:szCs w:val="28"/>
        </w:rPr>
        <w:t xml:space="preserve"> ее</w:t>
      </w:r>
      <w:r w:rsidRPr="00651A12">
        <w:rPr>
          <w:rFonts w:cs="Times New Roman"/>
          <w:szCs w:val="28"/>
        </w:rPr>
        <w:t xml:space="preserve"> стр</w:t>
      </w:r>
      <w:r w:rsidR="006A7B3D" w:rsidRPr="00651A12">
        <w:rPr>
          <w:rFonts w:cs="Times New Roman"/>
          <w:szCs w:val="28"/>
        </w:rPr>
        <w:t xml:space="preserve">атегии с возможностями, открываемыми </w:t>
      </w:r>
      <w:r w:rsidR="00C725B7" w:rsidRPr="00651A12">
        <w:rPr>
          <w:rFonts w:cs="Times New Roman"/>
          <w:szCs w:val="28"/>
        </w:rPr>
        <w:t>после слияния или поглощения</w:t>
      </w:r>
      <w:r w:rsidR="006A7B3D" w:rsidRPr="00651A12">
        <w:rPr>
          <w:rFonts w:cs="Times New Roman"/>
          <w:szCs w:val="28"/>
        </w:rPr>
        <w:t>.</w:t>
      </w:r>
      <w:r w:rsidR="002A768D" w:rsidRPr="00651A12">
        <w:rPr>
          <w:rStyle w:val="FootnoteReference"/>
          <w:rFonts w:cs="Times New Roman"/>
          <w:szCs w:val="28"/>
        </w:rPr>
        <w:footnoteReference w:id="8"/>
      </w:r>
    </w:p>
    <w:p w14:paraId="7BC2F8B4" w14:textId="77777777" w:rsidR="00CD72AA" w:rsidRPr="00651A12" w:rsidRDefault="00CD72AA" w:rsidP="006828FC">
      <w:pPr>
        <w:spacing w:line="360" w:lineRule="auto"/>
        <w:ind w:right="-1" w:firstLine="284"/>
        <w:jc w:val="both"/>
        <w:rPr>
          <w:rFonts w:cs="Times New Roman"/>
          <w:szCs w:val="28"/>
        </w:rPr>
      </w:pPr>
      <w:r w:rsidRPr="00651A12">
        <w:rPr>
          <w:rStyle w:val="apple-style-span"/>
          <w:rFonts w:cs="Times New Roman"/>
          <w:b/>
          <w:szCs w:val="28"/>
          <w:shd w:val="clear" w:color="auto" w:fill="FFFFFF"/>
        </w:rPr>
        <w:t>1.2. Типы и классификация слияний и поглощений</w:t>
      </w:r>
      <w:r w:rsidRPr="00651A12">
        <w:rPr>
          <w:rFonts w:cs="Times New Roman"/>
          <w:szCs w:val="28"/>
        </w:rPr>
        <w:t xml:space="preserve"> </w:t>
      </w:r>
    </w:p>
    <w:p w14:paraId="17645FF5" w14:textId="7F8A3DE6" w:rsidR="00435EC3" w:rsidRPr="00651A12" w:rsidRDefault="00010EB4" w:rsidP="006828FC">
      <w:pPr>
        <w:spacing w:line="360" w:lineRule="auto"/>
        <w:ind w:right="-1" w:firstLine="284"/>
        <w:jc w:val="both"/>
        <w:rPr>
          <w:rFonts w:cs="Times New Roman"/>
          <w:szCs w:val="28"/>
        </w:rPr>
      </w:pPr>
      <w:r w:rsidRPr="00651A12">
        <w:rPr>
          <w:rFonts w:cs="Times New Roman"/>
          <w:szCs w:val="28"/>
        </w:rPr>
        <w:t>Рассматривая различные процессы интеграции стоит также рассмотреть классификацию основных типов слияний и поглощений. Наиболее важными признаками являются:</w:t>
      </w:r>
      <w:r w:rsidR="0047523A" w:rsidRPr="00651A12">
        <w:rPr>
          <w:rStyle w:val="FootnoteReference"/>
          <w:rFonts w:cs="Times New Roman"/>
          <w:szCs w:val="28"/>
        </w:rPr>
        <w:footnoteReference w:id="9"/>
      </w:r>
    </w:p>
    <w:p w14:paraId="5647486E" w14:textId="2ECCCEF2" w:rsidR="00010EB4" w:rsidRPr="00651A12" w:rsidRDefault="00010EB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региональная и отраслевая принадлежность компании</w:t>
      </w:r>
    </w:p>
    <w:p w14:paraId="6893507C" w14:textId="78CCB9A0" w:rsidR="00010EB4" w:rsidRPr="00651A12" w:rsidRDefault="00010EB4" w:rsidP="006828FC">
      <w:pPr>
        <w:pStyle w:val="ListParagraph"/>
        <w:numPr>
          <w:ilvl w:val="0"/>
          <w:numId w:val="10"/>
        </w:numPr>
        <w:spacing w:line="360" w:lineRule="auto"/>
        <w:ind w:left="0" w:right="-1" w:firstLine="284"/>
        <w:jc w:val="both"/>
        <w:rPr>
          <w:rFonts w:cs="Times New Roman"/>
          <w:b/>
          <w:szCs w:val="28"/>
        </w:rPr>
      </w:pPr>
      <w:r w:rsidRPr="00651A12">
        <w:rPr>
          <w:rFonts w:cs="Times New Roman"/>
          <w:szCs w:val="28"/>
        </w:rPr>
        <w:t>способ проводимой интеграции</w:t>
      </w:r>
    </w:p>
    <w:p w14:paraId="571C6E9F" w14:textId="7A0D4EA4" w:rsidR="00010EB4" w:rsidRPr="00651A12" w:rsidRDefault="00010EB4" w:rsidP="006828FC">
      <w:pPr>
        <w:pStyle w:val="ListParagraph"/>
        <w:numPr>
          <w:ilvl w:val="0"/>
          <w:numId w:val="10"/>
        </w:numPr>
        <w:spacing w:line="360" w:lineRule="auto"/>
        <w:ind w:left="0" w:right="-1" w:firstLine="284"/>
        <w:jc w:val="both"/>
        <w:rPr>
          <w:rFonts w:cs="Times New Roman"/>
          <w:b/>
          <w:szCs w:val="28"/>
        </w:rPr>
      </w:pPr>
      <w:r w:rsidRPr="00651A12">
        <w:rPr>
          <w:rFonts w:cs="Times New Roman"/>
          <w:szCs w:val="28"/>
        </w:rPr>
        <w:t>отношении персонала компании к сделки такого типа</w:t>
      </w:r>
    </w:p>
    <w:p w14:paraId="0A502F8C" w14:textId="77777777" w:rsidR="00152294" w:rsidRPr="00651A12" w:rsidRDefault="00010EB4" w:rsidP="006828FC">
      <w:pPr>
        <w:pStyle w:val="ListParagraph"/>
        <w:numPr>
          <w:ilvl w:val="0"/>
          <w:numId w:val="10"/>
        </w:numPr>
        <w:spacing w:line="360" w:lineRule="auto"/>
        <w:ind w:left="0" w:right="-1" w:firstLine="284"/>
        <w:jc w:val="both"/>
        <w:rPr>
          <w:rFonts w:cs="Times New Roman"/>
          <w:b/>
          <w:szCs w:val="28"/>
        </w:rPr>
      </w:pPr>
      <w:r w:rsidRPr="00651A12">
        <w:rPr>
          <w:rFonts w:cs="Times New Roman"/>
          <w:szCs w:val="28"/>
        </w:rPr>
        <w:t>особенности механизма и условий слияния</w:t>
      </w:r>
    </w:p>
    <w:p w14:paraId="22B735DA" w14:textId="413CCEE6" w:rsidR="00435EC3" w:rsidRPr="00651A12" w:rsidRDefault="00152294" w:rsidP="006828FC">
      <w:pPr>
        <w:spacing w:line="360" w:lineRule="auto"/>
        <w:ind w:right="-1" w:firstLine="284"/>
        <w:jc w:val="both"/>
        <w:rPr>
          <w:rFonts w:cs="Times New Roman"/>
          <w:b/>
          <w:szCs w:val="28"/>
        </w:rPr>
      </w:pPr>
      <w:r w:rsidRPr="00651A12">
        <w:rPr>
          <w:rFonts w:cs="Times New Roman"/>
          <w:szCs w:val="28"/>
        </w:rPr>
        <w:t>Также стоит определить виды слияния, которые зависят от национальной принадлежности компаний, подлежащих объединению:</w:t>
      </w:r>
    </w:p>
    <w:p w14:paraId="03C79D3B" w14:textId="7600F8CB" w:rsidR="00152294" w:rsidRPr="00651A12" w:rsidRDefault="0015229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национальные сделки, когда целевые компании зарегистрированы в одной стране</w:t>
      </w:r>
    </w:p>
    <w:p w14:paraId="37333461" w14:textId="52F2E4BE" w:rsidR="00152294" w:rsidRPr="00651A12" w:rsidRDefault="0015229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транснациональные сделки, когда компании находятся в разных государствах, и подразумевается выход одной из них на зарубежный рынок</w:t>
      </w:r>
    </w:p>
    <w:p w14:paraId="46712739" w14:textId="047DC6D4" w:rsidR="00152294" w:rsidRPr="00651A12" w:rsidRDefault="00152294" w:rsidP="006828FC">
      <w:pPr>
        <w:spacing w:line="360" w:lineRule="auto"/>
        <w:ind w:right="-1" w:firstLine="284"/>
        <w:jc w:val="both"/>
        <w:rPr>
          <w:rFonts w:cs="Times New Roman"/>
          <w:szCs w:val="28"/>
        </w:rPr>
      </w:pPr>
      <w:r w:rsidRPr="00651A12">
        <w:rPr>
          <w:rFonts w:cs="Times New Roman"/>
          <w:szCs w:val="28"/>
        </w:rPr>
        <w:t>При этом можно разделить слияния и поглощения по характеру отношения управленческого состава компании к такой сделке и таким образом выделить следующие типы сделок:</w:t>
      </w:r>
      <w:r w:rsidR="00E63B7D" w:rsidRPr="00651A12">
        <w:rPr>
          <w:rStyle w:val="FootnoteReference"/>
          <w:rFonts w:cs="Times New Roman"/>
          <w:szCs w:val="28"/>
        </w:rPr>
        <w:footnoteReference w:id="10"/>
      </w:r>
    </w:p>
    <w:p w14:paraId="39FF65F9" w14:textId="14686881" w:rsidR="00435EC3" w:rsidRPr="00651A12" w:rsidRDefault="0015229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 xml:space="preserve">дружественные сделки, </w:t>
      </w:r>
      <w:r w:rsidR="00991211" w:rsidRPr="00651A12">
        <w:rPr>
          <w:rFonts w:cs="Times New Roman"/>
          <w:szCs w:val="28"/>
        </w:rPr>
        <w:t>когда покупатель и продавец добровольно соглашаются и идут на заключение сделки, т.е. происходит взаимное согласование интересов двух или более сторон, полагающи</w:t>
      </w:r>
      <w:r w:rsidR="00E63B7D" w:rsidRPr="00651A12">
        <w:rPr>
          <w:rFonts w:cs="Times New Roman"/>
          <w:szCs w:val="28"/>
        </w:rPr>
        <w:t>х, что им гораздо более выгодно сотрудничать, чем противодействовать друг другу;</w:t>
      </w:r>
    </w:p>
    <w:p w14:paraId="15F7C711" w14:textId="490734D2" w:rsidR="00435EC3" w:rsidRPr="00651A12" w:rsidRDefault="0015229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 xml:space="preserve">враждебные сделки, когда </w:t>
      </w:r>
      <w:r w:rsidR="00E63B7D" w:rsidRPr="00651A12">
        <w:rPr>
          <w:rFonts w:cs="Times New Roman"/>
          <w:szCs w:val="28"/>
        </w:rPr>
        <w:t>совет директоров приобретаемой компании отвергает предложение другой компании о скупке их акций и</w:t>
      </w:r>
      <w:r w:rsidR="00E21F7E" w:rsidRPr="00651A12">
        <w:rPr>
          <w:rFonts w:cs="Times New Roman"/>
          <w:szCs w:val="28"/>
        </w:rPr>
        <w:t xml:space="preserve"> выступает решительно против д</w:t>
      </w:r>
      <w:r w:rsidR="00E63B7D" w:rsidRPr="00651A12">
        <w:rPr>
          <w:rFonts w:cs="Times New Roman"/>
          <w:szCs w:val="28"/>
        </w:rPr>
        <w:t>анного слияния или поглощения, пытаясь осуществить</w:t>
      </w:r>
      <w:r w:rsidR="00E21F7E" w:rsidRPr="00651A12">
        <w:rPr>
          <w:rFonts w:cs="Times New Roman"/>
          <w:szCs w:val="28"/>
        </w:rPr>
        <w:t xml:space="preserve"> ряд действий, которые препятствовали бы захвату их компании.</w:t>
      </w:r>
      <w:r w:rsidR="00435EC3" w:rsidRPr="00651A12">
        <w:rPr>
          <w:rFonts w:cs="Times New Roman"/>
          <w:szCs w:val="28"/>
        </w:rPr>
        <w:t xml:space="preserve"> </w:t>
      </w:r>
      <w:r w:rsidR="00E21F7E" w:rsidRPr="00651A12">
        <w:rPr>
          <w:rFonts w:cs="Times New Roman"/>
          <w:szCs w:val="28"/>
        </w:rPr>
        <w:t>В такой ситуации приобретающая компания организовывает ряд мероприятий на финансовом рынке, направленных достижение своих целей и поглощения компании</w:t>
      </w:r>
    </w:p>
    <w:p w14:paraId="0DCB2384" w14:textId="23451800" w:rsidR="00150101" w:rsidRPr="00651A12" w:rsidRDefault="00150101" w:rsidP="006828FC">
      <w:pPr>
        <w:spacing w:line="360" w:lineRule="auto"/>
        <w:ind w:right="-1" w:firstLine="284"/>
        <w:jc w:val="both"/>
        <w:rPr>
          <w:rFonts w:cs="Times New Roman"/>
          <w:szCs w:val="28"/>
        </w:rPr>
      </w:pPr>
      <w:r w:rsidRPr="00651A12">
        <w:rPr>
          <w:rFonts w:cs="Times New Roman"/>
          <w:szCs w:val="28"/>
        </w:rPr>
        <w:t>Рассматривая способы осуществляемой интеграции компаний, целесообразно выделить их следующие типы:</w:t>
      </w:r>
      <w:r w:rsidR="00AC3EF4" w:rsidRPr="00651A12">
        <w:rPr>
          <w:rStyle w:val="FootnoteReference"/>
          <w:rFonts w:cs="Times New Roman"/>
          <w:szCs w:val="28"/>
        </w:rPr>
        <w:footnoteReference w:id="11"/>
      </w:r>
    </w:p>
    <w:p w14:paraId="342524C1" w14:textId="49878DFA" w:rsidR="00150101" w:rsidRPr="00651A12" w:rsidRDefault="00150101"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горизонтальные слияния и поглощения, при которых происходит объединения компаний, работающих в одном рыночном сегменте и предоставляющих одинаковый характер услуг</w:t>
      </w:r>
      <w:r w:rsidR="00931DA2" w:rsidRPr="00651A12">
        <w:rPr>
          <w:rFonts w:cs="Times New Roman"/>
          <w:szCs w:val="28"/>
        </w:rPr>
        <w:t xml:space="preserve">. Такие сделки случаются в случае если </w:t>
      </w:r>
      <w:r w:rsidR="000167BD" w:rsidRPr="00651A12">
        <w:rPr>
          <w:rFonts w:cs="Times New Roman"/>
          <w:szCs w:val="28"/>
        </w:rPr>
        <w:t>компаниями</w:t>
      </w:r>
      <w:r w:rsidR="00931DA2" w:rsidRPr="00651A12">
        <w:rPr>
          <w:rFonts w:cs="Times New Roman"/>
          <w:szCs w:val="28"/>
        </w:rPr>
        <w:t xml:space="preserve"> принимается стратегия, направленная на расширение и сохранение рынка, а также на улучш</w:t>
      </w:r>
      <w:r w:rsidR="000167BD" w:rsidRPr="00651A12">
        <w:rPr>
          <w:rFonts w:cs="Times New Roman"/>
          <w:szCs w:val="28"/>
        </w:rPr>
        <w:t>ение технологии. Приобретаемая компания</w:t>
      </w:r>
      <w:r w:rsidR="00931DA2" w:rsidRPr="00651A12">
        <w:rPr>
          <w:rFonts w:cs="Times New Roman"/>
          <w:szCs w:val="28"/>
        </w:rPr>
        <w:t xml:space="preserve"> зачастую также может стать только каналом для продвижения текущих продуктов;</w:t>
      </w:r>
    </w:p>
    <w:p w14:paraId="5F443CD9" w14:textId="10EEFF81" w:rsidR="00931DA2" w:rsidRPr="00651A12" w:rsidRDefault="006F01BA"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 xml:space="preserve">вертикальные слияния и поглощения, которые связаны с объединением компаний, работающих на смежных сегментах рынка, чьи услуги являются дополняющими. То есть при слиянии </w:t>
      </w:r>
      <w:r w:rsidR="000167BD" w:rsidRPr="00651A12">
        <w:rPr>
          <w:rFonts w:cs="Times New Roman"/>
          <w:szCs w:val="28"/>
        </w:rPr>
        <w:t>компания</w:t>
      </w:r>
      <w:r w:rsidRPr="00651A12">
        <w:rPr>
          <w:rFonts w:cs="Times New Roman"/>
          <w:szCs w:val="28"/>
        </w:rPr>
        <w:t>-покупатель расширяет свою деятельность путем расширения списка предоставляемых услуг</w:t>
      </w:r>
      <w:r w:rsidR="00931DA2" w:rsidRPr="00651A12">
        <w:rPr>
          <w:rFonts w:cs="Times New Roman"/>
          <w:szCs w:val="28"/>
        </w:rPr>
        <w:t xml:space="preserve"> на том же рынке</w:t>
      </w:r>
      <w:r w:rsidRPr="00651A12">
        <w:rPr>
          <w:rFonts w:cs="Times New Roman"/>
          <w:szCs w:val="28"/>
        </w:rPr>
        <w:t xml:space="preserve"> или привлечения новых клиентов</w:t>
      </w:r>
      <w:r w:rsidR="00931DA2" w:rsidRPr="00651A12">
        <w:rPr>
          <w:rFonts w:cs="Times New Roman"/>
          <w:szCs w:val="28"/>
        </w:rPr>
        <w:t>;</w:t>
      </w:r>
    </w:p>
    <w:p w14:paraId="16D1977B" w14:textId="0A761BCF" w:rsidR="00931DA2" w:rsidRPr="00651A12" w:rsidRDefault="00931DA2"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 xml:space="preserve">конгломератные слияния и поглощения, которые </w:t>
      </w:r>
      <w:r w:rsidR="000167BD" w:rsidRPr="00651A12">
        <w:rPr>
          <w:rFonts w:cs="Times New Roman"/>
          <w:szCs w:val="28"/>
        </w:rPr>
        <w:t>подразумевают объединение компаний</w:t>
      </w:r>
      <w:r w:rsidRPr="00651A12">
        <w:rPr>
          <w:rFonts w:cs="Times New Roman"/>
          <w:szCs w:val="28"/>
        </w:rPr>
        <w:t>, работающих на разных рыночных сегментах</w:t>
      </w:r>
      <w:r w:rsidR="000167BD" w:rsidRPr="00651A12">
        <w:rPr>
          <w:rFonts w:cs="Times New Roman"/>
          <w:szCs w:val="28"/>
        </w:rPr>
        <w:t xml:space="preserve"> и предлагающих новые продукты</w:t>
      </w:r>
      <w:r w:rsidRPr="00651A12">
        <w:rPr>
          <w:rFonts w:cs="Times New Roman"/>
          <w:szCs w:val="28"/>
        </w:rPr>
        <w:t xml:space="preserve">, </w:t>
      </w:r>
      <w:r w:rsidR="000167BD" w:rsidRPr="00651A12">
        <w:rPr>
          <w:rFonts w:cs="Times New Roman"/>
          <w:szCs w:val="28"/>
        </w:rPr>
        <w:t>а сама сделка направлена на достижении стратегии диверсификации (созданию новых продуктов на новых рынках). То есть происходит слияние компаний, не являющихся конкурентами;</w:t>
      </w:r>
      <w:r w:rsidRPr="00651A12">
        <w:rPr>
          <w:rFonts w:cs="Times New Roman"/>
          <w:i/>
          <w:szCs w:val="28"/>
        </w:rPr>
        <w:t xml:space="preserve"> </w:t>
      </w:r>
    </w:p>
    <w:p w14:paraId="4A2826E4" w14:textId="106C6417" w:rsidR="00435EC3" w:rsidRPr="00651A12" w:rsidRDefault="00BE6CB3" w:rsidP="006828FC">
      <w:pPr>
        <w:spacing w:line="360" w:lineRule="auto"/>
        <w:ind w:right="-1" w:firstLine="284"/>
        <w:jc w:val="both"/>
        <w:rPr>
          <w:rFonts w:cs="Times New Roman"/>
          <w:szCs w:val="28"/>
        </w:rPr>
      </w:pPr>
      <w:r w:rsidRPr="00651A12">
        <w:rPr>
          <w:rFonts w:cs="Times New Roman"/>
          <w:szCs w:val="28"/>
        </w:rPr>
        <w:t>Конгломератные слияния можно также разделить на три основных типа</w:t>
      </w:r>
      <w:r w:rsidR="00435EC3" w:rsidRPr="00651A12">
        <w:rPr>
          <w:rFonts w:cs="Times New Roman"/>
          <w:szCs w:val="28"/>
        </w:rPr>
        <w:t>:</w:t>
      </w:r>
      <w:r w:rsidR="00AC3EF4" w:rsidRPr="00651A12">
        <w:rPr>
          <w:rStyle w:val="FootnoteReference"/>
          <w:rFonts w:cs="Times New Roman"/>
          <w:szCs w:val="28"/>
        </w:rPr>
        <w:footnoteReference w:id="12"/>
      </w:r>
    </w:p>
    <w:p w14:paraId="11ECEAE1" w14:textId="1742AC84" w:rsidR="007321F4" w:rsidRPr="00651A12" w:rsidRDefault="007321F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расширение рынка при слиянии, а именно использование новых каналов продвижения услуг путем приобретения компаний в тех географических регионах, которые до этого не обслуживались;</w:t>
      </w:r>
    </w:p>
    <w:p w14:paraId="33E2ECC5" w14:textId="23A1FF89" w:rsidR="007321F4" w:rsidRPr="00651A12" w:rsidRDefault="007321F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расширение продуктовой линии при слиянии, подразумевающее объединение неконкурирующих продуктов и услуг;</w:t>
      </w:r>
    </w:p>
    <w:p w14:paraId="2FFA9157" w14:textId="3AA67B17" w:rsidR="007321F4" w:rsidRPr="00651A12" w:rsidRDefault="007321F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чистые конгломератные слияния, которые являются независимыми и не связаны ни с какой общностью.</w:t>
      </w:r>
    </w:p>
    <w:p w14:paraId="4E546D59" w14:textId="39A17B16" w:rsidR="00BE6CB3" w:rsidRPr="00651A12" w:rsidRDefault="00BE6CB3" w:rsidP="006828FC">
      <w:pPr>
        <w:spacing w:line="360" w:lineRule="auto"/>
        <w:ind w:right="-1" w:firstLine="284"/>
        <w:jc w:val="both"/>
        <w:rPr>
          <w:rFonts w:cs="Times New Roman"/>
          <w:szCs w:val="28"/>
        </w:rPr>
      </w:pPr>
      <w:r w:rsidRPr="00651A12">
        <w:rPr>
          <w:rFonts w:cs="Times New Roman"/>
          <w:szCs w:val="28"/>
        </w:rPr>
        <w:t>Стоит заметить, что практически не существует сделок по слияниям и поглощениям, которые можно было бы однозначно отнести к той или иной группе.</w:t>
      </w:r>
      <w:r w:rsidRPr="00651A12">
        <w:rPr>
          <w:rFonts w:cs="Times New Roman"/>
          <w:i/>
          <w:szCs w:val="28"/>
        </w:rPr>
        <w:t xml:space="preserve"> </w:t>
      </w:r>
      <w:r w:rsidRPr="00651A12">
        <w:rPr>
          <w:rFonts w:cs="Times New Roman"/>
          <w:szCs w:val="28"/>
        </w:rPr>
        <w:t>В основном все сделки, которые проходят в США, Европе и России, являются комбинацией различных типов с большим значением тех или иных мотивов.</w:t>
      </w:r>
      <w:r w:rsidR="00575C99" w:rsidRPr="00651A12">
        <w:rPr>
          <w:rStyle w:val="FootnoteReference"/>
          <w:rFonts w:cs="Times New Roman"/>
          <w:szCs w:val="28"/>
        </w:rPr>
        <w:footnoteReference w:id="13"/>
      </w:r>
    </w:p>
    <w:p w14:paraId="60808E66" w14:textId="48786CDB" w:rsidR="00435EC3" w:rsidRPr="00651A12" w:rsidRDefault="00BE6CB3" w:rsidP="006828FC">
      <w:pPr>
        <w:spacing w:line="360" w:lineRule="auto"/>
        <w:ind w:right="-1" w:firstLine="284"/>
        <w:jc w:val="both"/>
        <w:rPr>
          <w:rFonts w:cs="Times New Roman"/>
          <w:szCs w:val="28"/>
        </w:rPr>
      </w:pPr>
      <w:r w:rsidRPr="00651A12">
        <w:rPr>
          <w:rFonts w:cs="Times New Roman"/>
          <w:szCs w:val="28"/>
        </w:rPr>
        <w:t>Можно также выделить</w:t>
      </w:r>
      <w:r w:rsidR="007321F4" w:rsidRPr="00651A12">
        <w:rPr>
          <w:rFonts w:cs="Times New Roman"/>
          <w:szCs w:val="28"/>
        </w:rPr>
        <w:t xml:space="preserve"> такие</w:t>
      </w:r>
      <w:r w:rsidRPr="00651A12">
        <w:rPr>
          <w:rFonts w:cs="Times New Roman"/>
          <w:szCs w:val="28"/>
        </w:rPr>
        <w:t xml:space="preserve"> типы слияния, которые зависят от </w:t>
      </w:r>
      <w:r w:rsidR="007321F4" w:rsidRPr="00651A12">
        <w:rPr>
          <w:rFonts w:cs="Times New Roman"/>
          <w:szCs w:val="28"/>
        </w:rPr>
        <w:t>метода объединения потенциала</w:t>
      </w:r>
      <w:r w:rsidR="00435EC3" w:rsidRPr="00651A12">
        <w:rPr>
          <w:rFonts w:cs="Times New Roman"/>
          <w:szCs w:val="28"/>
        </w:rPr>
        <w:t>:</w:t>
      </w:r>
      <w:r w:rsidR="00AC3EF4" w:rsidRPr="00651A12">
        <w:rPr>
          <w:rStyle w:val="FootnoteReference"/>
          <w:rFonts w:cs="Times New Roman"/>
          <w:szCs w:val="28"/>
        </w:rPr>
        <w:footnoteReference w:id="14"/>
      </w:r>
    </w:p>
    <w:p w14:paraId="1FCCFBF2" w14:textId="39A32509" w:rsidR="007321F4" w:rsidRPr="00651A12" w:rsidRDefault="007321F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корпоративные альянсы, когда происходит объединение нескольких компаний, которые основываются на определенном сегменте бизнеса. Это обеспечивает достижение эффекта синергии в каком-то конкретном направлении, причем по остальным направлениям бизнеса компании продолжают самостоятельную работу. Для таких целей могут специально создаваться совместные структуры;</w:t>
      </w:r>
    </w:p>
    <w:p w14:paraId="40E2033D" w14:textId="3BFE594F" w:rsidR="007321F4" w:rsidRPr="00651A12" w:rsidRDefault="007321F4"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корпорации, когда происходит объединение всех активов компаний, которые вовлекаются в сделку.</w:t>
      </w:r>
    </w:p>
    <w:p w14:paraId="173D148C" w14:textId="15B25998" w:rsidR="00BB763A" w:rsidRPr="00651A12" w:rsidRDefault="00BB763A" w:rsidP="006828FC">
      <w:pPr>
        <w:spacing w:line="360" w:lineRule="auto"/>
        <w:ind w:right="-1" w:firstLine="284"/>
        <w:jc w:val="both"/>
        <w:rPr>
          <w:rFonts w:cs="Times New Roman"/>
          <w:szCs w:val="28"/>
        </w:rPr>
      </w:pPr>
      <w:r w:rsidRPr="00651A12">
        <w:rPr>
          <w:rFonts w:cs="Times New Roman"/>
          <w:szCs w:val="28"/>
        </w:rPr>
        <w:t>Также в зависимости от механизма слияния или поглощения можно выделить следующие типы приобретения:</w:t>
      </w:r>
      <w:r w:rsidR="002A768D" w:rsidRPr="00651A12">
        <w:rPr>
          <w:rStyle w:val="FootnoteReference"/>
          <w:rFonts w:cs="Times New Roman"/>
          <w:szCs w:val="28"/>
        </w:rPr>
        <w:footnoteReference w:id="15"/>
      </w:r>
    </w:p>
    <w:p w14:paraId="1D49F26A" w14:textId="77777777" w:rsidR="00BB763A" w:rsidRPr="00651A12" w:rsidRDefault="00BB763A"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присоединение всех активов и обязательств при слиянии или поглощении;</w:t>
      </w:r>
    </w:p>
    <w:p w14:paraId="38E57EC9" w14:textId="1255A0F4" w:rsidR="00BB763A" w:rsidRPr="00651A12" w:rsidRDefault="00BB763A"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покупка части или</w:t>
      </w:r>
      <w:r w:rsidR="00F24622" w:rsidRPr="00651A12">
        <w:rPr>
          <w:rFonts w:cs="Times New Roman"/>
          <w:szCs w:val="28"/>
        </w:rPr>
        <w:t xml:space="preserve"> всех активов поглощаемой компанией</w:t>
      </w:r>
      <w:r w:rsidRPr="00651A12">
        <w:rPr>
          <w:rFonts w:cs="Times New Roman"/>
          <w:szCs w:val="28"/>
        </w:rPr>
        <w:t>;</w:t>
      </w:r>
    </w:p>
    <w:p w14:paraId="573DBA49" w14:textId="77777777" w:rsidR="00BB763A" w:rsidRPr="00651A12" w:rsidRDefault="00BB763A"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покупка акций с денежной оплатой;</w:t>
      </w:r>
    </w:p>
    <w:p w14:paraId="7620777B" w14:textId="77777777" w:rsidR="00BB763A" w:rsidRPr="00651A12" w:rsidRDefault="00BB763A"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покупка акций с оплатой акциями или другими ценными бумагами.</w:t>
      </w:r>
    </w:p>
    <w:p w14:paraId="6DBB73D7" w14:textId="7E186BC8" w:rsidR="00C725B7" w:rsidRPr="00651A12" w:rsidRDefault="000167BD" w:rsidP="00A075A0">
      <w:pPr>
        <w:spacing w:line="360" w:lineRule="auto"/>
        <w:ind w:right="-1" w:firstLine="284"/>
        <w:jc w:val="both"/>
        <w:rPr>
          <w:rFonts w:cs="Times New Roman"/>
          <w:szCs w:val="28"/>
        </w:rPr>
      </w:pPr>
      <w:r w:rsidRPr="00651A12">
        <w:rPr>
          <w:rFonts w:cs="Times New Roman"/>
          <w:szCs w:val="28"/>
        </w:rPr>
        <w:t>Необходимо также от</w:t>
      </w:r>
      <w:r w:rsidR="00F24622" w:rsidRPr="00651A12">
        <w:rPr>
          <w:rFonts w:cs="Times New Roman"/>
          <w:szCs w:val="28"/>
        </w:rPr>
        <w:t>метить, что продажа ряда видов бизнеса</w:t>
      </w:r>
      <w:r w:rsidRPr="00651A12">
        <w:rPr>
          <w:rFonts w:cs="Times New Roman"/>
          <w:szCs w:val="28"/>
        </w:rPr>
        <w:t xml:space="preserve"> или сети отделений может осуществляться по требованию антимонопольных органов.</w:t>
      </w:r>
      <w:r w:rsidRPr="00651A12">
        <w:rPr>
          <w:rFonts w:cs="Times New Roman"/>
          <w:i/>
          <w:szCs w:val="28"/>
        </w:rPr>
        <w:t xml:space="preserve"> </w:t>
      </w:r>
      <w:r w:rsidR="00184AC4" w:rsidRPr="00651A12">
        <w:rPr>
          <w:rFonts w:cs="Times New Roman"/>
          <w:szCs w:val="28"/>
        </w:rPr>
        <w:t xml:space="preserve">При оценке сделки стоимость </w:t>
      </w:r>
      <w:r w:rsidR="00282AAA" w:rsidRPr="00651A12">
        <w:rPr>
          <w:rFonts w:cs="Times New Roman"/>
          <w:szCs w:val="28"/>
        </w:rPr>
        <w:t>предприятия</w:t>
      </w:r>
      <w:r w:rsidR="00184AC4" w:rsidRPr="00651A12">
        <w:rPr>
          <w:rFonts w:cs="Times New Roman"/>
          <w:szCs w:val="28"/>
        </w:rPr>
        <w:t xml:space="preserve"> определяется как стоимость собственного капитала плюс стоимость заемного капитала цели (включая краткосрочную и долгосрочную задолженность) и привилегированные акции за </w:t>
      </w:r>
      <w:r w:rsidR="00282AAA" w:rsidRPr="00651A12">
        <w:rPr>
          <w:rFonts w:cs="Times New Roman"/>
          <w:szCs w:val="28"/>
        </w:rPr>
        <w:t>вычетом</w:t>
      </w:r>
      <w:r w:rsidR="00184AC4" w:rsidRPr="00651A12">
        <w:rPr>
          <w:rFonts w:cs="Times New Roman"/>
          <w:szCs w:val="28"/>
        </w:rPr>
        <w:t xml:space="preserve"> денежных средств. Стоимость собственного капитала при этом представляет собой общую цену за вычетом стоимости заемного капитала.</w:t>
      </w:r>
      <w:r w:rsidR="008615E2" w:rsidRPr="00651A12">
        <w:rPr>
          <w:rStyle w:val="FootnoteReference"/>
          <w:rFonts w:cs="Times New Roman"/>
          <w:szCs w:val="28"/>
        </w:rPr>
        <w:footnoteReference w:id="16"/>
      </w:r>
      <w:r w:rsidR="008615E2" w:rsidRPr="00651A12">
        <w:rPr>
          <w:rFonts w:cs="Times New Roman"/>
          <w:szCs w:val="28"/>
        </w:rPr>
        <w:t xml:space="preserve"> </w:t>
      </w:r>
      <w:r w:rsidR="00810141" w:rsidRPr="00651A12">
        <w:rPr>
          <w:rFonts w:cs="Times New Roman"/>
          <w:szCs w:val="28"/>
        </w:rPr>
        <w:t xml:space="preserve">Определение ценообразования при поглощении обычно происходит на основе подсчета рыночной стоимости, которая изначально применяется при поглощениях публичных компаний. Данный метод требует поиска аналогов подобных компаний на открытых рынках, которые, как считается являются эффективными, а также информация о которых доступна как покупателям , так и продавцам и используется для </w:t>
      </w:r>
      <w:r w:rsidR="00282AAA" w:rsidRPr="00651A12">
        <w:rPr>
          <w:rFonts w:cs="Times New Roman"/>
          <w:szCs w:val="28"/>
        </w:rPr>
        <w:t>определения</w:t>
      </w:r>
      <w:r w:rsidR="00810141" w:rsidRPr="00651A12">
        <w:rPr>
          <w:rFonts w:cs="Times New Roman"/>
          <w:szCs w:val="28"/>
        </w:rPr>
        <w:t xml:space="preserve"> курсов их ценных бумаг.</w:t>
      </w:r>
      <w:r w:rsidR="00810141" w:rsidRPr="00651A12">
        <w:rPr>
          <w:rStyle w:val="FootnoteReference"/>
          <w:rFonts w:cs="Times New Roman"/>
          <w:szCs w:val="28"/>
        </w:rPr>
        <w:footnoteReference w:id="17"/>
      </w:r>
      <w:r w:rsidR="00D23093" w:rsidRPr="00651A12">
        <w:rPr>
          <w:rFonts w:cs="Times New Roman"/>
          <w:szCs w:val="28"/>
        </w:rPr>
        <w:br/>
      </w:r>
      <w:r w:rsidR="00CD72AA" w:rsidRPr="00651A12">
        <w:rPr>
          <w:rStyle w:val="apple-style-span"/>
          <w:rFonts w:cs="Times New Roman"/>
          <w:b/>
          <w:szCs w:val="28"/>
          <w:shd w:val="clear" w:color="auto" w:fill="FFFFFF"/>
        </w:rPr>
        <w:t>1.3. Основные мотивы и факторы активизации сделок</w:t>
      </w:r>
    </w:p>
    <w:p w14:paraId="31819AD6" w14:textId="792CF8EF" w:rsidR="004E1065" w:rsidRPr="00651A12" w:rsidRDefault="00A22823" w:rsidP="006828FC">
      <w:pPr>
        <w:spacing w:line="360" w:lineRule="auto"/>
        <w:ind w:right="-1" w:firstLine="284"/>
        <w:jc w:val="both"/>
        <w:rPr>
          <w:rFonts w:cs="Times New Roman"/>
          <w:szCs w:val="28"/>
        </w:rPr>
      </w:pPr>
      <w:r w:rsidRPr="00651A12">
        <w:rPr>
          <w:rFonts w:cs="Times New Roman"/>
          <w:szCs w:val="28"/>
        </w:rPr>
        <w:t>Слияния и поглощения являются настоящим тестом органи</w:t>
      </w:r>
      <w:r w:rsidR="0059225E" w:rsidRPr="00651A12">
        <w:rPr>
          <w:rFonts w:cs="Times New Roman"/>
          <w:szCs w:val="28"/>
        </w:rPr>
        <w:t>зационной стратегии любой компании</w:t>
      </w:r>
      <w:r w:rsidRPr="00651A12">
        <w:rPr>
          <w:rFonts w:cs="Times New Roman"/>
          <w:szCs w:val="28"/>
        </w:rPr>
        <w:t xml:space="preserve">, особенно во время текущего экономического климата, когда имеют место ограниченные рамки во времени для должного уровня аналитической деятельности. Поэтому интеграция должна осуществляться наряду с другими трансформационными инициативами, проводимыми в среде с высоким уровнем риска. </w:t>
      </w:r>
    </w:p>
    <w:p w14:paraId="176287FC" w14:textId="0D7707DC" w:rsidR="00A22823" w:rsidRPr="00651A12" w:rsidRDefault="004E1065" w:rsidP="006828FC">
      <w:pPr>
        <w:spacing w:line="360" w:lineRule="auto"/>
        <w:ind w:right="-1" w:firstLine="284"/>
        <w:jc w:val="both"/>
        <w:rPr>
          <w:rFonts w:cs="Times New Roman"/>
          <w:szCs w:val="28"/>
        </w:rPr>
      </w:pPr>
      <w:r w:rsidRPr="00651A12">
        <w:rPr>
          <w:rFonts w:cs="Times New Roman"/>
          <w:szCs w:val="28"/>
        </w:rPr>
        <w:t>С по</w:t>
      </w:r>
      <w:r w:rsidR="0059225E" w:rsidRPr="00651A12">
        <w:rPr>
          <w:rFonts w:cs="Times New Roman"/>
          <w:szCs w:val="28"/>
        </w:rPr>
        <w:t>мощью слияний и поглощений компании</w:t>
      </w:r>
      <w:r w:rsidRPr="00651A12">
        <w:rPr>
          <w:rFonts w:cs="Times New Roman"/>
          <w:szCs w:val="28"/>
        </w:rPr>
        <w:t xml:space="preserve"> стремятся к достижению существенного роста своих операций и минимизации издержек. Другим важным стимулом является тот факт, что при подобных сделках снижается конкуренция, так как этот процесс подразумевает отстранение одной компании из индустрии. </w:t>
      </w:r>
      <w:r w:rsidR="00D25595" w:rsidRPr="00651A12">
        <w:rPr>
          <w:rStyle w:val="FootnoteReference"/>
          <w:rFonts w:cs="Times New Roman"/>
          <w:szCs w:val="28"/>
        </w:rPr>
        <w:footnoteReference w:id="18"/>
      </w:r>
    </w:p>
    <w:p w14:paraId="3598D950" w14:textId="2B5EB5EF" w:rsidR="00C725B7" w:rsidRPr="00651A12" w:rsidRDefault="00C725B7" w:rsidP="006828FC">
      <w:pPr>
        <w:spacing w:line="360" w:lineRule="auto"/>
        <w:ind w:right="-1" w:firstLine="284"/>
        <w:jc w:val="both"/>
        <w:rPr>
          <w:rFonts w:cs="Times New Roman"/>
          <w:szCs w:val="28"/>
        </w:rPr>
      </w:pPr>
      <w:r w:rsidRPr="00651A12">
        <w:rPr>
          <w:rFonts w:cs="Times New Roman"/>
          <w:szCs w:val="28"/>
        </w:rPr>
        <w:t xml:space="preserve">Таким образом, стратегия </w:t>
      </w:r>
      <w:r w:rsidR="0059225E" w:rsidRPr="00651A12">
        <w:rPr>
          <w:rFonts w:cs="Times New Roman"/>
          <w:szCs w:val="28"/>
        </w:rPr>
        <w:t>любой иностранной компании</w:t>
      </w:r>
      <w:r w:rsidRPr="00651A12">
        <w:rPr>
          <w:rFonts w:cs="Times New Roman"/>
          <w:szCs w:val="28"/>
        </w:rPr>
        <w:t xml:space="preserve"> при экспансии на </w:t>
      </w:r>
      <w:r w:rsidR="0059225E" w:rsidRPr="00651A12">
        <w:rPr>
          <w:rFonts w:cs="Times New Roman"/>
          <w:szCs w:val="28"/>
        </w:rPr>
        <w:t xml:space="preserve">зарубежный </w:t>
      </w:r>
      <w:r w:rsidRPr="00651A12">
        <w:rPr>
          <w:rFonts w:cs="Times New Roman"/>
          <w:szCs w:val="28"/>
        </w:rPr>
        <w:t>рынок включает:</w:t>
      </w:r>
      <w:r w:rsidR="00AA16B8" w:rsidRPr="00651A12">
        <w:rPr>
          <w:rStyle w:val="FootnoteReference"/>
          <w:rFonts w:cs="Times New Roman"/>
          <w:szCs w:val="28"/>
        </w:rPr>
        <w:footnoteReference w:id="19"/>
      </w:r>
    </w:p>
    <w:p w14:paraId="43D5A78E" w14:textId="13309DEA"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 xml:space="preserve">Определение соответствия возможного слияния или поглощения основной миссии </w:t>
      </w:r>
      <w:r w:rsidR="0059225E" w:rsidRPr="00651A12">
        <w:rPr>
          <w:rFonts w:cs="Times New Roman"/>
          <w:szCs w:val="28"/>
        </w:rPr>
        <w:t>этой иностранной</w:t>
      </w:r>
      <w:r w:rsidRPr="00651A12">
        <w:rPr>
          <w:rFonts w:cs="Times New Roman"/>
          <w:szCs w:val="28"/>
        </w:rPr>
        <w:t xml:space="preserve"> </w:t>
      </w:r>
      <w:r w:rsidR="0059225E" w:rsidRPr="00651A12">
        <w:rPr>
          <w:rFonts w:cs="Times New Roman"/>
          <w:szCs w:val="28"/>
        </w:rPr>
        <w:t>компании</w:t>
      </w:r>
      <w:r w:rsidR="00CB63C6" w:rsidRPr="00651A12">
        <w:rPr>
          <w:rFonts w:cs="Times New Roman"/>
          <w:szCs w:val="28"/>
        </w:rPr>
        <w:t>;</w:t>
      </w:r>
    </w:p>
    <w:p w14:paraId="7689D616" w14:textId="36AA8640"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Изучение возможного эффекта от предстоящей сделк</w:t>
      </w:r>
      <w:r w:rsidR="00CB63C6" w:rsidRPr="00651A12">
        <w:rPr>
          <w:rFonts w:cs="Times New Roman"/>
          <w:szCs w:val="28"/>
        </w:rPr>
        <w:t>и на осуществление целей данной компании</w:t>
      </w:r>
      <w:r w:rsidRPr="00651A12">
        <w:rPr>
          <w:rFonts w:cs="Times New Roman"/>
          <w:szCs w:val="28"/>
        </w:rPr>
        <w:t xml:space="preserve">, учитывая при этом финансовую составляющую и будущее влияние на изменение качества </w:t>
      </w:r>
      <w:r w:rsidR="0059225E" w:rsidRPr="00651A12">
        <w:rPr>
          <w:rFonts w:cs="Times New Roman"/>
          <w:szCs w:val="28"/>
        </w:rPr>
        <w:t xml:space="preserve">товаров и </w:t>
      </w:r>
      <w:r w:rsidRPr="00651A12">
        <w:rPr>
          <w:rFonts w:cs="Times New Roman"/>
          <w:szCs w:val="28"/>
        </w:rPr>
        <w:t xml:space="preserve">услуг, предоставляемых </w:t>
      </w:r>
      <w:r w:rsidR="00CB63C6" w:rsidRPr="00651A12">
        <w:rPr>
          <w:rFonts w:cs="Times New Roman"/>
          <w:szCs w:val="28"/>
        </w:rPr>
        <w:t>компанией</w:t>
      </w:r>
      <w:r w:rsidRPr="00651A12">
        <w:rPr>
          <w:rFonts w:cs="Times New Roman"/>
          <w:szCs w:val="28"/>
        </w:rPr>
        <w:t>. З</w:t>
      </w:r>
      <w:r w:rsidR="00F24622" w:rsidRPr="00651A12">
        <w:rPr>
          <w:rFonts w:cs="Times New Roman"/>
          <w:szCs w:val="28"/>
        </w:rPr>
        <w:t>десь</w:t>
      </w:r>
      <w:r w:rsidRPr="00651A12">
        <w:rPr>
          <w:rFonts w:cs="Times New Roman"/>
          <w:szCs w:val="28"/>
        </w:rPr>
        <w:t xml:space="preserve"> также приходится принимать во внимание влияние таких сделок на эффективность оп</w:t>
      </w:r>
      <w:r w:rsidR="00CB63C6" w:rsidRPr="00651A12">
        <w:rPr>
          <w:rFonts w:cs="Times New Roman"/>
          <w:szCs w:val="28"/>
        </w:rPr>
        <w:t>ераций и размер бизнеса в целом;</w:t>
      </w:r>
    </w:p>
    <w:p w14:paraId="20E71297" w14:textId="2BF16CD0"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Анализ макроэкономических тенденций рынка с учетом каких-либо возможных изменений в государственном регулировании и законодательстве, а также учет степени адекватности рыночных условий для принятия решения о пр</w:t>
      </w:r>
      <w:r w:rsidR="00CB63C6" w:rsidRPr="00651A12">
        <w:rPr>
          <w:rFonts w:cs="Times New Roman"/>
          <w:szCs w:val="28"/>
        </w:rPr>
        <w:t>оведении слияния или поглощения;</w:t>
      </w:r>
    </w:p>
    <w:p w14:paraId="5BC0E36D" w14:textId="50A11D71"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Оценка влияния слияния или поглощения на уро</w:t>
      </w:r>
      <w:r w:rsidR="00CB63C6" w:rsidRPr="00651A12">
        <w:rPr>
          <w:rFonts w:cs="Times New Roman"/>
          <w:szCs w:val="28"/>
        </w:rPr>
        <w:t>вень конкурентоспособности компании, то есть проведение</w:t>
      </w:r>
      <w:r w:rsidRPr="00651A12">
        <w:rPr>
          <w:rFonts w:cs="Times New Roman"/>
          <w:szCs w:val="28"/>
        </w:rPr>
        <w:t xml:space="preserve"> исследования, </w:t>
      </w:r>
      <w:r w:rsidR="00CB63C6" w:rsidRPr="00651A12">
        <w:rPr>
          <w:rFonts w:cs="Times New Roman"/>
          <w:szCs w:val="28"/>
        </w:rPr>
        <w:t>направленного на выявление реальной возможности</w:t>
      </w:r>
      <w:r w:rsidRPr="00651A12">
        <w:rPr>
          <w:rFonts w:cs="Times New Roman"/>
          <w:szCs w:val="28"/>
        </w:rPr>
        <w:t xml:space="preserve"> усилить слабые стороны и справ</w:t>
      </w:r>
      <w:r w:rsidR="00CB63C6" w:rsidRPr="00651A12">
        <w:rPr>
          <w:rFonts w:cs="Times New Roman"/>
          <w:szCs w:val="28"/>
        </w:rPr>
        <w:t>иться с проблемными аспектами;</w:t>
      </w:r>
    </w:p>
    <w:p w14:paraId="11E1ABC2" w14:textId="544FC475"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 xml:space="preserve">Определение </w:t>
      </w:r>
      <w:r w:rsidR="00CB63C6" w:rsidRPr="00651A12">
        <w:rPr>
          <w:rFonts w:cs="Times New Roman"/>
          <w:szCs w:val="28"/>
        </w:rPr>
        <w:t>компанией</w:t>
      </w:r>
      <w:r w:rsidRPr="00651A12">
        <w:rPr>
          <w:rFonts w:cs="Times New Roman"/>
          <w:szCs w:val="28"/>
        </w:rPr>
        <w:t xml:space="preserve"> оптимальных возможностей будущего развития после такой сделки</w:t>
      </w:r>
      <w:r w:rsidR="00CB63C6" w:rsidRPr="00651A12">
        <w:rPr>
          <w:rFonts w:cs="Times New Roman"/>
          <w:szCs w:val="28"/>
        </w:rPr>
        <w:t xml:space="preserve"> вместе с учетом любых возможных рисков и угроз;</w:t>
      </w:r>
    </w:p>
    <w:p w14:paraId="1986FF2E" w14:textId="5D740343"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Целостный анализ всех сегментов рынка с оценкой воздействия сли</w:t>
      </w:r>
      <w:r w:rsidR="00F24622" w:rsidRPr="00651A12">
        <w:rPr>
          <w:rFonts w:cs="Times New Roman"/>
          <w:szCs w:val="28"/>
        </w:rPr>
        <w:t>яния или поглощения на позицию компании</w:t>
      </w:r>
      <w:r w:rsidRPr="00651A12">
        <w:rPr>
          <w:rFonts w:cs="Times New Roman"/>
          <w:szCs w:val="28"/>
        </w:rPr>
        <w:t xml:space="preserve"> в каждом из них</w:t>
      </w:r>
      <w:r w:rsidR="00F24622" w:rsidRPr="00651A12">
        <w:rPr>
          <w:rFonts w:cs="Times New Roman"/>
          <w:szCs w:val="28"/>
        </w:rPr>
        <w:t>;</w:t>
      </w:r>
    </w:p>
    <w:p w14:paraId="6AF8490C" w14:textId="208ECB94" w:rsidR="00C725B7"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 xml:space="preserve">Анализ того, насколько можно достигнуть всех стратегических задач и результатов, а также в </w:t>
      </w:r>
      <w:r w:rsidR="00F24622" w:rsidRPr="00651A12">
        <w:rPr>
          <w:rFonts w:cs="Times New Roman"/>
          <w:szCs w:val="28"/>
        </w:rPr>
        <w:t>какие сроки реально это сделать;</w:t>
      </w:r>
    </w:p>
    <w:p w14:paraId="297035DB" w14:textId="14F91E23" w:rsidR="00B76646" w:rsidRPr="00651A12" w:rsidRDefault="00C725B7" w:rsidP="006828FC">
      <w:pPr>
        <w:pStyle w:val="ListParagraph"/>
        <w:numPr>
          <w:ilvl w:val="0"/>
          <w:numId w:val="7"/>
        </w:numPr>
        <w:spacing w:line="360" w:lineRule="auto"/>
        <w:ind w:left="0" w:right="-1" w:firstLine="284"/>
        <w:jc w:val="both"/>
        <w:rPr>
          <w:rFonts w:cs="Times New Roman"/>
          <w:szCs w:val="28"/>
        </w:rPr>
      </w:pPr>
      <w:r w:rsidRPr="00651A12">
        <w:rPr>
          <w:rFonts w:cs="Times New Roman"/>
          <w:szCs w:val="28"/>
        </w:rPr>
        <w:t>Исследование воздействия сделки на  достижение установленных финансовых показателей</w:t>
      </w:r>
      <w:r w:rsidR="00F24622" w:rsidRPr="00651A12">
        <w:rPr>
          <w:rFonts w:cs="Times New Roman"/>
          <w:szCs w:val="28"/>
          <w:lang w:eastAsia="en-US"/>
        </w:rPr>
        <w:t>.</w:t>
      </w:r>
    </w:p>
    <w:p w14:paraId="1098A214" w14:textId="3B14F7B2" w:rsidR="00B76646" w:rsidRPr="00651A12" w:rsidRDefault="00B76646" w:rsidP="006828FC">
      <w:pPr>
        <w:spacing w:line="360" w:lineRule="auto"/>
        <w:ind w:right="-1" w:firstLine="284"/>
        <w:jc w:val="both"/>
        <w:rPr>
          <w:rFonts w:cs="Times New Roman"/>
          <w:szCs w:val="28"/>
          <w:lang w:eastAsia="en-US"/>
        </w:rPr>
      </w:pPr>
      <w:r w:rsidRPr="00651A12">
        <w:rPr>
          <w:rFonts w:cs="Times New Roman"/>
          <w:szCs w:val="28"/>
          <w:lang w:eastAsia="en-US"/>
        </w:rPr>
        <w:t>Цели слияний и поглощений можно разбить на несколько составляющих, структурируя их таким образом:</w:t>
      </w:r>
      <w:r w:rsidR="0051139C" w:rsidRPr="00651A12">
        <w:rPr>
          <w:rStyle w:val="FootnoteReference"/>
          <w:rFonts w:cs="Times New Roman"/>
          <w:szCs w:val="28"/>
          <w:lang w:eastAsia="en-US"/>
        </w:rPr>
        <w:footnoteReference w:id="20"/>
      </w:r>
    </w:p>
    <w:p w14:paraId="04747E69" w14:textId="65631848" w:rsidR="00B76646" w:rsidRPr="00651A12" w:rsidRDefault="00B76646" w:rsidP="006828FC">
      <w:pPr>
        <w:pStyle w:val="ListParagraph"/>
        <w:numPr>
          <w:ilvl w:val="0"/>
          <w:numId w:val="10"/>
        </w:numPr>
        <w:spacing w:line="360" w:lineRule="auto"/>
        <w:ind w:left="0" w:right="-1" w:firstLine="284"/>
        <w:jc w:val="both"/>
        <w:rPr>
          <w:rFonts w:cs="Times New Roman"/>
          <w:szCs w:val="28"/>
          <w:lang w:eastAsia="en-US"/>
        </w:rPr>
      </w:pPr>
      <w:r w:rsidRPr="00651A12">
        <w:rPr>
          <w:rFonts w:cs="Times New Roman"/>
          <w:szCs w:val="28"/>
          <w:lang w:eastAsia="en-US"/>
        </w:rPr>
        <w:t>обеспечение рыночного позиционирования для того, чтобы занять устойчивую и твердую позицию на новых рынках, где имеются благоприятные возможности для будущего развития всех конкурентных преимуществ</w:t>
      </w:r>
      <w:r w:rsidR="0051139C" w:rsidRPr="00651A12">
        <w:rPr>
          <w:rFonts w:cs="Times New Roman"/>
          <w:szCs w:val="28"/>
          <w:lang w:eastAsia="en-US"/>
        </w:rPr>
        <w:t>;</w:t>
      </w:r>
    </w:p>
    <w:p w14:paraId="70DA1291" w14:textId="77B13C4C" w:rsidR="00B76646" w:rsidRPr="00651A12" w:rsidRDefault="00B76646"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 xml:space="preserve">обеспечение конкурентной позиции путем получении возможности использовать новые </w:t>
      </w:r>
      <w:r w:rsidR="0051139C" w:rsidRPr="00651A12">
        <w:rPr>
          <w:rFonts w:cs="Times New Roman"/>
          <w:szCs w:val="28"/>
        </w:rPr>
        <w:t xml:space="preserve">товары, услуги, </w:t>
      </w:r>
      <w:r w:rsidRPr="00651A12">
        <w:rPr>
          <w:rFonts w:cs="Times New Roman"/>
          <w:szCs w:val="28"/>
        </w:rPr>
        <w:t>технологии</w:t>
      </w:r>
      <w:r w:rsidR="0051139C" w:rsidRPr="00651A12">
        <w:rPr>
          <w:rFonts w:cs="Times New Roman"/>
          <w:szCs w:val="28"/>
        </w:rPr>
        <w:t xml:space="preserve"> и процессы, которые позволят увеличить конкурентное преимущество;</w:t>
      </w:r>
    </w:p>
    <w:p w14:paraId="5603DE85" w14:textId="35722990" w:rsidR="0051139C" w:rsidRPr="00651A12" w:rsidRDefault="0051139C"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обеспечение прироста клиентской базы, сопровождаемого ростом лояльности клиентов к бренду компании, что в целом позволит увеличить долю рынка;</w:t>
      </w:r>
    </w:p>
    <w:p w14:paraId="59448A15" w14:textId="68AEEFC4" w:rsidR="0051139C" w:rsidRPr="00651A12" w:rsidRDefault="0051139C"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увеличение организационного контроля путем приобретения и развития новых ключевых управленческих и технологических компетенций</w:t>
      </w:r>
    </w:p>
    <w:p w14:paraId="1A3126A5" w14:textId="6AA445C1" w:rsidR="0051139C" w:rsidRPr="00651A12" w:rsidRDefault="0051139C"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достижение финансовых показателей в области роста объемов продаж, стимулировании прибыли, увеличении рентабельности вложенного капитала.</w:t>
      </w:r>
    </w:p>
    <w:p w14:paraId="379E601B" w14:textId="40064A47" w:rsidR="00C54BC5" w:rsidRPr="00651A12" w:rsidRDefault="00C54BC5" w:rsidP="006828FC">
      <w:pPr>
        <w:spacing w:line="360" w:lineRule="auto"/>
        <w:ind w:right="-1" w:firstLine="284"/>
        <w:jc w:val="both"/>
        <w:rPr>
          <w:rFonts w:cs="Times New Roman"/>
          <w:szCs w:val="28"/>
        </w:rPr>
      </w:pPr>
      <w:r w:rsidRPr="00651A12">
        <w:rPr>
          <w:rFonts w:cs="Times New Roman"/>
          <w:b/>
          <w:szCs w:val="28"/>
        </w:rPr>
        <w:t>Рис. 1.</w:t>
      </w:r>
      <w:r w:rsidRPr="00651A12">
        <w:rPr>
          <w:rFonts w:cs="Times New Roman"/>
          <w:szCs w:val="28"/>
        </w:rPr>
        <w:t xml:space="preserve"> </w:t>
      </w:r>
      <w:r w:rsidRPr="00651A12">
        <w:rPr>
          <w:rFonts w:cs="Times New Roman"/>
          <w:bCs/>
          <w:szCs w:val="28"/>
        </w:rPr>
        <w:t>Распределение целей сделок слияния и поглощения</w:t>
      </w:r>
      <w:r w:rsidRPr="00651A12">
        <w:rPr>
          <w:rStyle w:val="FootnoteReference"/>
          <w:rFonts w:cs="Times New Roman"/>
          <w:szCs w:val="28"/>
        </w:rPr>
        <w:footnoteReference w:id="21"/>
      </w:r>
    </w:p>
    <w:p w14:paraId="4E901A6F" w14:textId="12B04D78" w:rsidR="00BA48D0" w:rsidRPr="00651A12" w:rsidRDefault="00256ECB" w:rsidP="006828FC">
      <w:pPr>
        <w:pStyle w:val="ListParagraph"/>
        <w:spacing w:line="360" w:lineRule="auto"/>
        <w:ind w:left="0" w:right="-1" w:firstLine="284"/>
        <w:jc w:val="both"/>
        <w:rPr>
          <w:rFonts w:cs="Times New Roman"/>
          <w:szCs w:val="28"/>
        </w:rPr>
      </w:pPr>
      <w:r w:rsidRPr="00651A12">
        <w:rPr>
          <w:rFonts w:cs="Times New Roman"/>
          <w:noProof/>
          <w:szCs w:val="28"/>
          <w:lang w:val="en-US" w:eastAsia="en-US"/>
        </w:rPr>
        <w:drawing>
          <wp:inline distT="0" distB="0" distL="0" distR="0" wp14:anchorId="1762D282" wp14:editId="243B6AA5">
            <wp:extent cx="5764738" cy="2421255"/>
            <wp:effectExtent l="0" t="0" r="2667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71972B" w14:textId="00B52AF7" w:rsidR="00431897" w:rsidRPr="00651A12" w:rsidRDefault="00431897" w:rsidP="006828FC">
      <w:pPr>
        <w:spacing w:line="360" w:lineRule="auto"/>
        <w:ind w:right="-1" w:firstLine="284"/>
        <w:jc w:val="both"/>
        <w:rPr>
          <w:rFonts w:cs="Times New Roman"/>
          <w:szCs w:val="28"/>
        </w:rPr>
      </w:pPr>
      <w:r w:rsidRPr="00651A12">
        <w:rPr>
          <w:rFonts w:cs="Times New Roman"/>
          <w:b/>
          <w:i/>
          <w:szCs w:val="28"/>
        </w:rPr>
        <w:t>Источник:</w:t>
      </w:r>
      <w:r w:rsidRPr="00651A12">
        <w:rPr>
          <w:rFonts w:cs="Times New Roman"/>
          <w:szCs w:val="28"/>
        </w:rPr>
        <w:t xml:space="preserve"> </w:t>
      </w:r>
      <w:r w:rsidR="00C54BC5" w:rsidRPr="00651A12">
        <w:rPr>
          <w:rFonts w:cs="Times New Roman"/>
          <w:szCs w:val="28"/>
        </w:rPr>
        <w:t>Аналитическое издание «Корпоративный менеджмент»</w:t>
      </w:r>
    </w:p>
    <w:p w14:paraId="7E90E72C" w14:textId="38F4297B" w:rsidR="004E1065" w:rsidRPr="00651A12" w:rsidRDefault="004E1065" w:rsidP="006828FC">
      <w:pPr>
        <w:spacing w:line="360" w:lineRule="auto"/>
        <w:ind w:right="-1" w:firstLine="284"/>
        <w:jc w:val="both"/>
        <w:rPr>
          <w:rFonts w:cs="Times New Roman"/>
          <w:szCs w:val="28"/>
        </w:rPr>
      </w:pPr>
      <w:r w:rsidRPr="00651A12">
        <w:rPr>
          <w:rFonts w:cs="Times New Roman"/>
          <w:szCs w:val="28"/>
        </w:rPr>
        <w:t>В</w:t>
      </w:r>
      <w:r w:rsidR="00A752F4" w:rsidRPr="00651A12">
        <w:rPr>
          <w:rFonts w:cs="Times New Roman"/>
          <w:szCs w:val="28"/>
        </w:rPr>
        <w:t xml:space="preserve"> течение последних лет весь мировой рынок испытал </w:t>
      </w:r>
      <w:r w:rsidRPr="00651A12">
        <w:rPr>
          <w:rFonts w:cs="Times New Roman"/>
          <w:szCs w:val="28"/>
        </w:rPr>
        <w:t xml:space="preserve">высокий уровень консолидации в результате множества слияний и поглощений </w:t>
      </w:r>
      <w:r w:rsidR="00A752F4" w:rsidRPr="00651A12">
        <w:rPr>
          <w:rFonts w:cs="Times New Roman"/>
          <w:szCs w:val="28"/>
        </w:rPr>
        <w:t>различных компаний</w:t>
      </w:r>
      <w:r w:rsidRPr="00651A12">
        <w:rPr>
          <w:rFonts w:cs="Times New Roman"/>
          <w:szCs w:val="28"/>
        </w:rPr>
        <w:t xml:space="preserve">. Их масштаб имеет большое влияние на всю мировую экономику и связан с разнообразными возможностями получения выгоды от совместной работы. </w:t>
      </w:r>
      <w:r w:rsidR="00A752F4" w:rsidRPr="00651A12">
        <w:rPr>
          <w:rFonts w:cs="Times New Roman"/>
          <w:szCs w:val="28"/>
        </w:rPr>
        <w:t xml:space="preserve">Компании </w:t>
      </w:r>
      <w:r w:rsidR="00A22823" w:rsidRPr="00651A12">
        <w:rPr>
          <w:rFonts w:cs="Times New Roman"/>
          <w:szCs w:val="28"/>
        </w:rPr>
        <w:t xml:space="preserve">сейчас опять стараются использовать сделки по слияниям и поглощениям как способ продолжения роста и достижения высокой производительности, хотя, конечно, это не всегда достигается. </w:t>
      </w:r>
      <w:r w:rsidR="00A752F4" w:rsidRPr="00651A12">
        <w:rPr>
          <w:rFonts w:cs="Times New Roman"/>
          <w:szCs w:val="28"/>
        </w:rPr>
        <w:t>Но н</w:t>
      </w:r>
      <w:r w:rsidR="00A22823" w:rsidRPr="00651A12">
        <w:rPr>
          <w:rFonts w:cs="Times New Roman"/>
          <w:szCs w:val="28"/>
        </w:rPr>
        <w:t xml:space="preserve">еобходимо отметить, что сейчас с ростом развивающихся рынков, активности иностранных слияний и поглощений </w:t>
      </w:r>
      <w:r w:rsidR="00A752F4" w:rsidRPr="00651A12">
        <w:rPr>
          <w:rFonts w:cs="Times New Roman"/>
          <w:szCs w:val="28"/>
        </w:rPr>
        <w:t xml:space="preserve">компаний </w:t>
      </w:r>
      <w:r w:rsidR="00A22823" w:rsidRPr="00651A12">
        <w:rPr>
          <w:rFonts w:cs="Times New Roman"/>
          <w:szCs w:val="28"/>
        </w:rPr>
        <w:t>резко выросла.</w:t>
      </w:r>
      <w:r w:rsidRPr="00651A12">
        <w:rPr>
          <w:rFonts w:cs="Times New Roman"/>
          <w:szCs w:val="28"/>
        </w:rPr>
        <w:t xml:space="preserve"> Во многих странах глобальные международные </w:t>
      </w:r>
      <w:r w:rsidR="00A752F4" w:rsidRPr="00651A12">
        <w:rPr>
          <w:rFonts w:cs="Times New Roman"/>
          <w:szCs w:val="28"/>
        </w:rPr>
        <w:t>корпорации</w:t>
      </w:r>
      <w:r w:rsidRPr="00651A12">
        <w:rPr>
          <w:rFonts w:cs="Times New Roman"/>
          <w:szCs w:val="28"/>
        </w:rPr>
        <w:t xml:space="preserve"> стали расширять свою деятельности путем слияний и поглощений с региональными </w:t>
      </w:r>
      <w:r w:rsidR="00A752F4" w:rsidRPr="00651A12">
        <w:rPr>
          <w:rFonts w:cs="Times New Roman"/>
          <w:szCs w:val="28"/>
        </w:rPr>
        <w:t>компаниями</w:t>
      </w:r>
      <w:r w:rsidRPr="00651A12">
        <w:rPr>
          <w:rFonts w:cs="Times New Roman"/>
          <w:szCs w:val="28"/>
        </w:rPr>
        <w:t xml:space="preserve"> других стран</w:t>
      </w:r>
      <w:r w:rsidR="00F4071A" w:rsidRPr="00651A12">
        <w:rPr>
          <w:rFonts w:cs="Times New Roman"/>
          <w:szCs w:val="28"/>
        </w:rPr>
        <w:t xml:space="preserve">, тем самым ставя себя в доминирующую позицию в </w:t>
      </w:r>
      <w:r w:rsidR="00A752F4" w:rsidRPr="00651A12">
        <w:rPr>
          <w:rFonts w:cs="Times New Roman"/>
          <w:szCs w:val="28"/>
        </w:rPr>
        <w:t>определенном</w:t>
      </w:r>
      <w:r w:rsidR="00F4071A" w:rsidRPr="00651A12">
        <w:rPr>
          <w:rFonts w:cs="Times New Roman"/>
          <w:szCs w:val="28"/>
        </w:rPr>
        <w:t xml:space="preserve"> секторе, достигая экономию от масштаба и выходя на новые рынки. </w:t>
      </w:r>
      <w:r w:rsidR="00575C99" w:rsidRPr="00651A12">
        <w:rPr>
          <w:rStyle w:val="FootnoteReference"/>
          <w:rFonts w:cs="Times New Roman"/>
          <w:szCs w:val="28"/>
        </w:rPr>
        <w:footnoteReference w:id="22"/>
      </w:r>
    </w:p>
    <w:p w14:paraId="4C3BD6CC" w14:textId="41AA2A73" w:rsidR="006E65D8" w:rsidRPr="00651A12" w:rsidRDefault="00B2165C" w:rsidP="006828FC">
      <w:pPr>
        <w:spacing w:line="360" w:lineRule="auto"/>
        <w:ind w:right="-1" w:firstLine="284"/>
        <w:jc w:val="both"/>
        <w:rPr>
          <w:rFonts w:cs="Times New Roman"/>
          <w:szCs w:val="28"/>
        </w:rPr>
      </w:pPr>
      <w:r w:rsidRPr="00651A12">
        <w:rPr>
          <w:rFonts w:cs="Times New Roman"/>
          <w:szCs w:val="28"/>
        </w:rPr>
        <w:t xml:space="preserve">Основным критерием успеха слияний и поглощений компаний является эффект синергии, который обычно определяется измерением сравнительных издержек до и после данных процессов. </w:t>
      </w:r>
      <w:r w:rsidR="00A752F4" w:rsidRPr="00651A12">
        <w:rPr>
          <w:rFonts w:cs="Times New Roman"/>
          <w:szCs w:val="28"/>
        </w:rPr>
        <w:t>Компании</w:t>
      </w:r>
      <w:r w:rsidR="006E65D8" w:rsidRPr="00651A12">
        <w:rPr>
          <w:rFonts w:cs="Times New Roman"/>
          <w:szCs w:val="28"/>
        </w:rPr>
        <w:t xml:space="preserve"> стремятся к получению синергетического эффекта в результате </w:t>
      </w:r>
      <w:r w:rsidR="00195B2F" w:rsidRPr="00651A12">
        <w:rPr>
          <w:rFonts w:cs="Times New Roman"/>
          <w:szCs w:val="28"/>
        </w:rPr>
        <w:t>слияний</w:t>
      </w:r>
      <w:r w:rsidR="006E65D8" w:rsidRPr="00651A12">
        <w:rPr>
          <w:rFonts w:cs="Times New Roman"/>
          <w:szCs w:val="28"/>
        </w:rPr>
        <w:t xml:space="preserve"> и поглощений</w:t>
      </w:r>
      <w:r w:rsidR="00195B2F" w:rsidRPr="00651A12">
        <w:rPr>
          <w:rFonts w:cs="Times New Roman"/>
          <w:szCs w:val="28"/>
        </w:rPr>
        <w:t xml:space="preserve">, когда результат совместной деятельности двух или нескольких организаций </w:t>
      </w:r>
      <w:r w:rsidR="00404EB8" w:rsidRPr="00651A12">
        <w:rPr>
          <w:rFonts w:cs="Times New Roman"/>
          <w:szCs w:val="28"/>
        </w:rPr>
        <w:t>будет превышать общий</w:t>
      </w:r>
      <w:r w:rsidR="00195B2F" w:rsidRPr="00651A12">
        <w:rPr>
          <w:rFonts w:cs="Times New Roman"/>
          <w:szCs w:val="28"/>
        </w:rPr>
        <w:t xml:space="preserve"> результат </w:t>
      </w:r>
      <w:r w:rsidR="00404EB8" w:rsidRPr="00651A12">
        <w:rPr>
          <w:rFonts w:cs="Times New Roman"/>
          <w:szCs w:val="28"/>
        </w:rPr>
        <w:t>компаний, которые работают на рынке раздельно</w:t>
      </w:r>
      <w:r w:rsidR="00195B2F" w:rsidRPr="00651A12">
        <w:rPr>
          <w:rFonts w:cs="Times New Roman"/>
          <w:szCs w:val="28"/>
        </w:rPr>
        <w:t xml:space="preserve">. </w:t>
      </w:r>
      <w:r w:rsidR="007C67DD" w:rsidRPr="00651A12">
        <w:rPr>
          <w:rFonts w:cs="Times New Roman"/>
          <w:szCs w:val="28"/>
        </w:rPr>
        <w:t xml:space="preserve">То есть это означает </w:t>
      </w:r>
      <w:r w:rsidR="000C49EF" w:rsidRPr="00651A12">
        <w:rPr>
          <w:rFonts w:cs="Times New Roman"/>
          <w:szCs w:val="28"/>
        </w:rPr>
        <w:t xml:space="preserve">поиск взаимодополняющих ресурсов у друг друга, так как это позволит существенно увеличить эффективность обеих компаний. </w:t>
      </w:r>
      <w:r w:rsidR="00195B2F" w:rsidRPr="00651A12">
        <w:rPr>
          <w:rFonts w:cs="Times New Roman"/>
          <w:szCs w:val="28"/>
        </w:rPr>
        <w:t>Таким образом этот эффект можно разбить на несколько составляющих:</w:t>
      </w:r>
      <w:r w:rsidR="007C67DD" w:rsidRPr="00651A12">
        <w:rPr>
          <w:rStyle w:val="FootnoteReference"/>
          <w:rFonts w:cs="Times New Roman"/>
          <w:szCs w:val="28"/>
        </w:rPr>
        <w:footnoteReference w:id="23"/>
      </w:r>
    </w:p>
    <w:p w14:paraId="4FC17101" w14:textId="43D27404" w:rsidR="00195B2F" w:rsidRPr="00651A12" w:rsidRDefault="00195B2F" w:rsidP="006828FC">
      <w:pPr>
        <w:pStyle w:val="ListParagraph"/>
        <w:numPr>
          <w:ilvl w:val="0"/>
          <w:numId w:val="4"/>
        </w:numPr>
        <w:spacing w:line="360" w:lineRule="auto"/>
        <w:ind w:left="0" w:right="-1" w:firstLine="284"/>
        <w:jc w:val="both"/>
        <w:rPr>
          <w:rFonts w:cs="Times New Roman"/>
          <w:szCs w:val="28"/>
        </w:rPr>
      </w:pPr>
      <w:r w:rsidRPr="00651A12">
        <w:rPr>
          <w:rFonts w:cs="Times New Roman"/>
          <w:szCs w:val="28"/>
        </w:rPr>
        <w:t>Экономия масштаба</w:t>
      </w:r>
    </w:p>
    <w:p w14:paraId="1DBF0293" w14:textId="390D9439" w:rsidR="00195B2F" w:rsidRPr="00651A12" w:rsidRDefault="00195B2F" w:rsidP="006828FC">
      <w:pPr>
        <w:pStyle w:val="ListParagraph"/>
        <w:numPr>
          <w:ilvl w:val="0"/>
          <w:numId w:val="4"/>
        </w:numPr>
        <w:spacing w:line="360" w:lineRule="auto"/>
        <w:ind w:left="0" w:right="-1" w:firstLine="284"/>
        <w:jc w:val="both"/>
        <w:rPr>
          <w:rFonts w:cs="Times New Roman"/>
          <w:szCs w:val="28"/>
        </w:rPr>
      </w:pPr>
      <w:r w:rsidRPr="00651A12">
        <w:rPr>
          <w:rFonts w:cs="Times New Roman"/>
          <w:szCs w:val="28"/>
        </w:rPr>
        <w:t>Укрепление рыночных позиций</w:t>
      </w:r>
    </w:p>
    <w:p w14:paraId="62F3227B" w14:textId="5B33C579" w:rsidR="00195B2F" w:rsidRPr="00651A12" w:rsidRDefault="00195B2F" w:rsidP="006828FC">
      <w:pPr>
        <w:pStyle w:val="ListParagraph"/>
        <w:numPr>
          <w:ilvl w:val="0"/>
          <w:numId w:val="4"/>
        </w:numPr>
        <w:spacing w:line="360" w:lineRule="auto"/>
        <w:ind w:left="0" w:right="-1" w:firstLine="284"/>
        <w:jc w:val="both"/>
        <w:rPr>
          <w:rFonts w:cs="Times New Roman"/>
          <w:szCs w:val="28"/>
        </w:rPr>
      </w:pPr>
      <w:r w:rsidRPr="00651A12">
        <w:rPr>
          <w:rFonts w:cs="Times New Roman"/>
          <w:szCs w:val="28"/>
        </w:rPr>
        <w:t>Объединение ресурсов</w:t>
      </w:r>
    </w:p>
    <w:p w14:paraId="58FC1EBB" w14:textId="5E1E5BC5" w:rsidR="00195B2F" w:rsidRPr="00651A12" w:rsidRDefault="00195B2F" w:rsidP="006828FC">
      <w:pPr>
        <w:pStyle w:val="ListParagraph"/>
        <w:numPr>
          <w:ilvl w:val="0"/>
          <w:numId w:val="4"/>
        </w:numPr>
        <w:spacing w:line="360" w:lineRule="auto"/>
        <w:ind w:left="0" w:right="-1" w:firstLine="284"/>
        <w:jc w:val="both"/>
        <w:rPr>
          <w:rFonts w:cs="Times New Roman"/>
          <w:szCs w:val="28"/>
        </w:rPr>
      </w:pPr>
      <w:r w:rsidRPr="00651A12">
        <w:rPr>
          <w:rFonts w:cs="Times New Roman"/>
          <w:szCs w:val="28"/>
        </w:rPr>
        <w:t>Снижение транзакционных издержек</w:t>
      </w:r>
    </w:p>
    <w:p w14:paraId="33846525" w14:textId="796BA923" w:rsidR="00E21F7E" w:rsidRPr="00651A12" w:rsidRDefault="00195B2F" w:rsidP="006828FC">
      <w:pPr>
        <w:pStyle w:val="ListParagraph"/>
        <w:numPr>
          <w:ilvl w:val="0"/>
          <w:numId w:val="4"/>
        </w:numPr>
        <w:spacing w:line="360" w:lineRule="auto"/>
        <w:ind w:left="0" w:right="-1" w:firstLine="284"/>
        <w:jc w:val="both"/>
        <w:rPr>
          <w:rFonts w:cs="Times New Roman"/>
          <w:szCs w:val="28"/>
        </w:rPr>
      </w:pPr>
      <w:r w:rsidRPr="00651A12">
        <w:rPr>
          <w:rFonts w:cs="Times New Roman"/>
          <w:szCs w:val="28"/>
        </w:rPr>
        <w:t>Повышение эффективности НИОКР</w:t>
      </w:r>
    </w:p>
    <w:p w14:paraId="603CDBEB" w14:textId="7CEFA517" w:rsidR="007C67DD" w:rsidRPr="00651A12" w:rsidRDefault="00B2165C" w:rsidP="006828FC">
      <w:pPr>
        <w:spacing w:line="360" w:lineRule="auto"/>
        <w:ind w:right="-1" w:firstLine="284"/>
        <w:jc w:val="both"/>
        <w:rPr>
          <w:rFonts w:cs="Times New Roman"/>
          <w:szCs w:val="28"/>
        </w:rPr>
      </w:pPr>
      <w:r w:rsidRPr="00651A12">
        <w:rPr>
          <w:rFonts w:cs="Times New Roman"/>
          <w:szCs w:val="28"/>
        </w:rPr>
        <w:t xml:space="preserve">Двумя основными типами синергии является операционная синергия, при которой происходит увеличение доходов и сокращение расходов, сопровождающееся повышением эффективности, а также финансовая синергия, при которой возникает возможность снижения затрат на капитал в результате соединения одной или более компаний. </w:t>
      </w:r>
      <w:r w:rsidR="00C52C18" w:rsidRPr="00651A12">
        <w:rPr>
          <w:rFonts w:cs="Times New Roman"/>
          <w:szCs w:val="28"/>
        </w:rPr>
        <w:t>Но з</w:t>
      </w:r>
      <w:r w:rsidR="007C67DD" w:rsidRPr="00651A12">
        <w:rPr>
          <w:rFonts w:cs="Times New Roman"/>
          <w:szCs w:val="28"/>
        </w:rPr>
        <w:t>ачастую мечты о синергии приводят к тому, что покупатели часто переплачивают. Отчасти это объясняется тем, что очень часто не до конца определяется действительный и измеримый эффект улучшений и конкурентного преимущества.</w:t>
      </w:r>
      <w:r w:rsidR="008615E2" w:rsidRPr="00651A12">
        <w:rPr>
          <w:rFonts w:cs="Times New Roman"/>
          <w:szCs w:val="28"/>
        </w:rPr>
        <w:t xml:space="preserve"> </w:t>
      </w:r>
      <w:r w:rsidRPr="00651A12">
        <w:rPr>
          <w:rFonts w:cs="Times New Roman"/>
          <w:szCs w:val="28"/>
        </w:rPr>
        <w:t>Стоит отметить, что экономические эффекты слияний и поглощений сильно зависят от рыночной оценки стоимости до сделки и особенно после нее. Конечно, успех сделки также зависит от опыта и профессиональных навыков менеджеров компаний.</w:t>
      </w:r>
    </w:p>
    <w:p w14:paraId="157193BE" w14:textId="7E3F98B8" w:rsidR="00CD72AA" w:rsidRPr="00651A12" w:rsidRDefault="00CD72AA" w:rsidP="006828FC">
      <w:pPr>
        <w:spacing w:line="360" w:lineRule="auto"/>
        <w:ind w:right="-1" w:firstLine="284"/>
        <w:jc w:val="both"/>
        <w:rPr>
          <w:rFonts w:cs="Times New Roman"/>
          <w:szCs w:val="28"/>
        </w:rPr>
      </w:pPr>
      <w:r w:rsidRPr="00651A12">
        <w:rPr>
          <w:rFonts w:cs="Times New Roman"/>
          <w:szCs w:val="28"/>
        </w:rPr>
        <w:t xml:space="preserve">Говоря о мотивах слияний и поглощений можно </w:t>
      </w:r>
      <w:r w:rsidR="00C9659E" w:rsidRPr="00651A12">
        <w:rPr>
          <w:rFonts w:cs="Times New Roman"/>
          <w:szCs w:val="28"/>
        </w:rPr>
        <w:t xml:space="preserve">также </w:t>
      </w:r>
      <w:r w:rsidRPr="00651A12">
        <w:rPr>
          <w:rFonts w:cs="Times New Roman"/>
          <w:szCs w:val="28"/>
        </w:rPr>
        <w:t xml:space="preserve">отметить тот факт, что </w:t>
      </w:r>
      <w:r w:rsidR="00A752F4" w:rsidRPr="00651A12">
        <w:rPr>
          <w:rFonts w:cs="Times New Roman"/>
          <w:szCs w:val="28"/>
        </w:rPr>
        <w:t xml:space="preserve">компании </w:t>
      </w:r>
      <w:r w:rsidR="00C9659E" w:rsidRPr="00651A12">
        <w:rPr>
          <w:rFonts w:cs="Times New Roman"/>
          <w:szCs w:val="28"/>
        </w:rPr>
        <w:t xml:space="preserve">часто </w:t>
      </w:r>
      <w:r w:rsidRPr="00651A12">
        <w:rPr>
          <w:rFonts w:cs="Times New Roman"/>
          <w:szCs w:val="28"/>
        </w:rPr>
        <w:t xml:space="preserve">стремятся к повышению качества и эффективности управления в результате объединения. </w:t>
      </w:r>
      <w:r w:rsidR="00C9659E" w:rsidRPr="00651A12">
        <w:rPr>
          <w:rFonts w:cs="Times New Roman"/>
          <w:szCs w:val="28"/>
        </w:rPr>
        <w:t xml:space="preserve">Также иногда компании преследуют мотив монополизации своей деятельности, чтобы решить проблему снижения своих цен в рамках конкуренции. Иногда даже приобретаются и сразу же закрываются компании конкурентов. Это делается в следствие того, что зачастую покупка бизнеса соперника видится намного выгоднее, чем продолжение конкурентной борьбы и снижение своих цен ниже уровня переменных издержек. Но существует антимонопольное законодательство, которое тщательно следит и ограничивает возможность осуществления таких сделок. </w:t>
      </w:r>
      <w:r w:rsidRPr="00651A12">
        <w:rPr>
          <w:rFonts w:cs="Times New Roman"/>
          <w:szCs w:val="28"/>
        </w:rPr>
        <w:t>Большой акцент также делается на получение налоговых льгот,</w:t>
      </w:r>
      <w:r w:rsidR="00A752F4" w:rsidRPr="00651A12">
        <w:rPr>
          <w:rFonts w:cs="Times New Roman"/>
          <w:szCs w:val="28"/>
        </w:rPr>
        <w:t xml:space="preserve"> которыми, например, может</w:t>
      </w:r>
      <w:r w:rsidRPr="00651A12">
        <w:rPr>
          <w:rFonts w:cs="Times New Roman"/>
          <w:szCs w:val="28"/>
        </w:rPr>
        <w:t xml:space="preserve"> обладать поглощаемая компания. Однако, всегда есть риск достижения таких выгод, связанный с множеством условий и факторов рынка, и, зачастую, слияния и поглощения приводят к снижению производительности </w:t>
      </w:r>
      <w:r w:rsidR="00A752F4" w:rsidRPr="00651A12">
        <w:rPr>
          <w:rFonts w:cs="Times New Roman"/>
          <w:szCs w:val="28"/>
        </w:rPr>
        <w:t xml:space="preserve">компаний </w:t>
      </w:r>
      <w:r w:rsidRPr="00651A12">
        <w:rPr>
          <w:rFonts w:cs="Times New Roman"/>
          <w:szCs w:val="28"/>
        </w:rPr>
        <w:t>без достижения каких-либо положительных эффектов.</w:t>
      </w:r>
      <w:r w:rsidR="00C52C18" w:rsidRPr="00651A12">
        <w:rPr>
          <w:rFonts w:cs="Times New Roman"/>
          <w:szCs w:val="28"/>
        </w:rPr>
        <w:t xml:space="preserve"> </w:t>
      </w:r>
    </w:p>
    <w:p w14:paraId="650B83B7" w14:textId="20DBA848" w:rsidR="00ED7631" w:rsidRPr="00651A12" w:rsidRDefault="00ED7631" w:rsidP="006828FC">
      <w:pPr>
        <w:spacing w:line="360" w:lineRule="auto"/>
        <w:ind w:right="-1" w:firstLine="284"/>
        <w:jc w:val="both"/>
        <w:rPr>
          <w:rFonts w:cs="Times New Roman"/>
          <w:szCs w:val="28"/>
        </w:rPr>
      </w:pPr>
      <w:r w:rsidRPr="00651A12">
        <w:rPr>
          <w:rFonts w:cs="Times New Roman"/>
          <w:szCs w:val="28"/>
        </w:rPr>
        <w:t>Как показывает практика, даже в случае неудачи при слиянии</w:t>
      </w:r>
      <w:r w:rsidR="00A752F4" w:rsidRPr="00651A12">
        <w:rPr>
          <w:rFonts w:cs="Times New Roman"/>
          <w:szCs w:val="28"/>
        </w:rPr>
        <w:t xml:space="preserve"> и поглощении, объединенная компания</w:t>
      </w:r>
      <w:r w:rsidRPr="00651A12">
        <w:rPr>
          <w:rFonts w:cs="Times New Roman"/>
          <w:szCs w:val="28"/>
        </w:rPr>
        <w:t xml:space="preserve"> все-таки продолжает свою деяте</w:t>
      </w:r>
      <w:r w:rsidR="00A752F4" w:rsidRPr="00651A12">
        <w:rPr>
          <w:rFonts w:cs="Times New Roman"/>
          <w:szCs w:val="28"/>
        </w:rPr>
        <w:t>льность</w:t>
      </w:r>
      <w:r w:rsidRPr="00651A12">
        <w:rPr>
          <w:rFonts w:cs="Times New Roman"/>
          <w:szCs w:val="28"/>
        </w:rPr>
        <w:t>, так как обратный процесс дезинтеграции теперь уже общей системы может быть еще более неэффективным, требующим значительных дополнительных издержек.</w:t>
      </w:r>
      <w:r w:rsidR="00AA16B8" w:rsidRPr="00651A12">
        <w:rPr>
          <w:rStyle w:val="FootnoteReference"/>
          <w:rFonts w:cs="Times New Roman"/>
          <w:szCs w:val="28"/>
        </w:rPr>
        <w:footnoteReference w:id="24"/>
      </w:r>
    </w:p>
    <w:p w14:paraId="16DC2150" w14:textId="77777777" w:rsidR="00792358" w:rsidRPr="00651A12" w:rsidRDefault="00792358" w:rsidP="006828FC">
      <w:pPr>
        <w:spacing w:line="360" w:lineRule="auto"/>
        <w:ind w:right="-1" w:firstLine="284"/>
        <w:jc w:val="both"/>
        <w:rPr>
          <w:rFonts w:cs="Times New Roman"/>
          <w:szCs w:val="28"/>
        </w:rPr>
      </w:pPr>
    </w:p>
    <w:p w14:paraId="01860E80" w14:textId="77777777" w:rsidR="002A1D4D" w:rsidRPr="00651A12" w:rsidRDefault="002A1D4D" w:rsidP="006828FC">
      <w:pPr>
        <w:spacing w:line="360" w:lineRule="auto"/>
        <w:ind w:right="-1" w:firstLine="284"/>
        <w:jc w:val="both"/>
        <w:rPr>
          <w:rFonts w:cs="Times New Roman"/>
          <w:szCs w:val="28"/>
        </w:rPr>
      </w:pPr>
    </w:p>
    <w:p w14:paraId="386556D1" w14:textId="77777777" w:rsidR="00C55353" w:rsidRPr="00651A12" w:rsidRDefault="00C55353" w:rsidP="006828FC">
      <w:pPr>
        <w:spacing w:line="360" w:lineRule="auto"/>
        <w:ind w:right="-1"/>
        <w:jc w:val="both"/>
        <w:rPr>
          <w:rFonts w:cs="Times New Roman"/>
          <w:szCs w:val="28"/>
        </w:rPr>
      </w:pPr>
    </w:p>
    <w:p w14:paraId="35DEFC9D" w14:textId="72FB2852" w:rsidR="00792358" w:rsidRPr="00651A12" w:rsidRDefault="00792358" w:rsidP="006828FC">
      <w:pPr>
        <w:pStyle w:val="NoSpacing"/>
        <w:spacing w:line="360" w:lineRule="auto"/>
        <w:ind w:right="-1" w:firstLine="284"/>
        <w:jc w:val="both"/>
        <w:rPr>
          <w:rFonts w:ascii="Times New Roman" w:hAnsi="Times New Roman" w:cs="Times New Roman"/>
          <w:sz w:val="28"/>
          <w:szCs w:val="28"/>
        </w:rPr>
      </w:pPr>
      <w:r w:rsidRPr="00651A12">
        <w:rPr>
          <w:rStyle w:val="apple-style-span"/>
          <w:rFonts w:ascii="Times New Roman" w:hAnsi="Times New Roman" w:cs="Times New Roman"/>
          <w:b/>
          <w:sz w:val="28"/>
          <w:szCs w:val="28"/>
          <w:shd w:val="clear" w:color="auto" w:fill="FFFFFF"/>
        </w:rPr>
        <w:t xml:space="preserve">Глава 2.  </w:t>
      </w:r>
      <w:r w:rsidR="00467C7E" w:rsidRPr="00651A12">
        <w:rPr>
          <w:rStyle w:val="apple-style-span"/>
          <w:rFonts w:ascii="Times New Roman" w:hAnsi="Times New Roman" w:cs="Times New Roman"/>
          <w:b/>
          <w:sz w:val="28"/>
          <w:szCs w:val="28"/>
          <w:shd w:val="clear" w:color="auto" w:fill="FFFFFF"/>
        </w:rPr>
        <w:t>Современное состояние российского банковского сектора</w:t>
      </w:r>
    </w:p>
    <w:p w14:paraId="1D48722D" w14:textId="743F8193" w:rsidR="00BA48D0" w:rsidRPr="00651A12" w:rsidRDefault="00792358" w:rsidP="006828FC">
      <w:pPr>
        <w:pStyle w:val="NoSpacing"/>
        <w:spacing w:line="360" w:lineRule="auto"/>
        <w:ind w:right="-1" w:firstLine="284"/>
        <w:jc w:val="both"/>
        <w:rPr>
          <w:rFonts w:ascii="Times New Roman" w:hAnsi="Times New Roman" w:cs="Times New Roman"/>
          <w:b/>
          <w:sz w:val="28"/>
          <w:szCs w:val="28"/>
        </w:rPr>
      </w:pPr>
      <w:r w:rsidRPr="00651A12">
        <w:rPr>
          <w:rFonts w:ascii="Times New Roman" w:hAnsi="Times New Roman" w:cs="Times New Roman"/>
          <w:b/>
          <w:sz w:val="28"/>
          <w:szCs w:val="28"/>
        </w:rPr>
        <w:t xml:space="preserve">2.1. </w:t>
      </w:r>
      <w:r w:rsidR="00BA48D0" w:rsidRPr="00651A12">
        <w:rPr>
          <w:rFonts w:ascii="Times New Roman" w:hAnsi="Times New Roman" w:cs="Times New Roman"/>
          <w:b/>
          <w:sz w:val="28"/>
          <w:szCs w:val="28"/>
        </w:rPr>
        <w:t xml:space="preserve"> Динамика основных показателей банковского рынка</w:t>
      </w:r>
    </w:p>
    <w:p w14:paraId="1B0C6F94" w14:textId="52C7DF9C" w:rsidR="003B6E5A" w:rsidRPr="00651A12" w:rsidRDefault="003B6E5A" w:rsidP="006828FC">
      <w:pPr>
        <w:pStyle w:val="NoSpacing"/>
        <w:spacing w:line="360" w:lineRule="auto"/>
        <w:ind w:right="-1" w:firstLine="284"/>
        <w:jc w:val="both"/>
        <w:rPr>
          <w:rStyle w:val="apple-style-span"/>
          <w:rFonts w:ascii="Times New Roman" w:hAnsi="Times New Roman" w:cs="Times New Roman"/>
          <w:sz w:val="28"/>
          <w:szCs w:val="28"/>
        </w:rPr>
      </w:pPr>
      <w:r w:rsidRPr="00651A12">
        <w:rPr>
          <w:rFonts w:ascii="Times New Roman" w:hAnsi="Times New Roman" w:cs="Times New Roman"/>
          <w:sz w:val="28"/>
          <w:szCs w:val="28"/>
        </w:rPr>
        <w:t xml:space="preserve">Последствия финансового кризиса и влияние последних экономических реформ на бизнес были основными моментами, которые стояли перед всем мировым банковским сектором в течение последних нескольких лет. Теперь этот период сменяется новым набором вызовов и возможностей, которые основываются на том, как можно будет развиваться и преуспеть в ближайшие года под влиянием повышенных требований к капиталу и более жесткой защиты прав потребителей. </w:t>
      </w:r>
      <w:r w:rsidR="00E2321B" w:rsidRPr="00651A12">
        <w:rPr>
          <w:rStyle w:val="FootnoteReference"/>
          <w:rFonts w:ascii="Times New Roman" w:hAnsi="Times New Roman" w:cs="Times New Roman"/>
          <w:sz w:val="28"/>
          <w:szCs w:val="28"/>
        </w:rPr>
        <w:footnoteReference w:id="25"/>
      </w:r>
    </w:p>
    <w:p w14:paraId="0BF8A72A" w14:textId="68A7B1BC" w:rsidR="006C569B" w:rsidRPr="00651A12" w:rsidRDefault="006C569B"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На данный момент в России активно развивается тенденция роста инвестиций в банковскую систему, что во многом связано с рядом факторов, которые обуславливаются прежде всего серьезным ростом инвестиционной привлекательности российского рынка, а также ускоренной валютной либерализацией. Это также связано с довольно быстрым ростом российского фондового рынка, что повлекло ускоренное увеличение рыночной капитализации отечественных банков. При этом именно в России наблюдается активный рост потенциала для иностранных инвестиций по сравнению с другими развивающимися странами, а также стремительный рост розничного сегмента банков, особенно потребительского кредитования. </w:t>
      </w:r>
      <w:r w:rsidR="003B6E5A" w:rsidRPr="00651A12">
        <w:rPr>
          <w:rStyle w:val="apple-style-span"/>
          <w:rFonts w:ascii="Times New Roman" w:hAnsi="Times New Roman" w:cs="Times New Roman"/>
          <w:sz w:val="28"/>
          <w:szCs w:val="28"/>
          <w:shd w:val="clear" w:color="auto" w:fill="FFFFFF"/>
        </w:rPr>
        <w:t xml:space="preserve">Однако, </w:t>
      </w:r>
      <w:r w:rsidR="003B6E5A" w:rsidRPr="00651A12">
        <w:rPr>
          <w:rFonts w:ascii="Times New Roman" w:hAnsi="Times New Roman" w:cs="Times New Roman"/>
          <w:sz w:val="28"/>
          <w:szCs w:val="28"/>
        </w:rPr>
        <w:t>российским банкам придется вести политику активного увеличения капитализации, так как новые изменения и регулирования банковского сектора могут сильно увеличить нагрузку на собственный капитал банков.</w:t>
      </w:r>
      <w:r w:rsidR="00901955" w:rsidRPr="00651A12">
        <w:rPr>
          <w:rStyle w:val="FootnoteReference"/>
          <w:rFonts w:ascii="Times New Roman" w:hAnsi="Times New Roman" w:cs="Times New Roman"/>
          <w:sz w:val="28"/>
          <w:szCs w:val="28"/>
          <w:shd w:val="clear" w:color="auto" w:fill="FFFFFF"/>
        </w:rPr>
        <w:footnoteReference w:id="26"/>
      </w:r>
    </w:p>
    <w:p w14:paraId="2D8AB34C" w14:textId="322A2266" w:rsidR="00250771" w:rsidRPr="00651A12" w:rsidRDefault="000C3D02"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Основной тенденцией на банковском рынке России в 2012 стало стремление банков к изменению своей бизнес-стратегии на специализацию в целевых нишах, где они могут быть локальными лидерами. Розничный рынок банковских услуг стал основным местом конкуренции, так как именно этот рынок рос наиболее быстрыми темпами в 2012 году</w:t>
      </w:r>
      <w:r w:rsidR="006C569B" w:rsidRPr="00651A12">
        <w:rPr>
          <w:rFonts w:eastAsiaTheme="minorHAnsi" w:cs="Times New Roman"/>
          <w:szCs w:val="28"/>
          <w:lang w:eastAsia="en-US"/>
        </w:rPr>
        <w:t xml:space="preserve"> (увеличение более чем на 40%)</w:t>
      </w:r>
      <w:r w:rsidRPr="00651A12">
        <w:rPr>
          <w:rFonts w:eastAsiaTheme="minorHAnsi" w:cs="Times New Roman"/>
          <w:szCs w:val="28"/>
          <w:lang w:eastAsia="en-US"/>
        </w:rPr>
        <w:t>. Во многом это связано с изменением предпочтений потребителей, которые начали все больше тратить, чем сберегать в связи с улучшением экономической ситуации на рынке в целом.</w:t>
      </w:r>
      <w:r w:rsidR="006C569B" w:rsidRPr="00651A12">
        <w:rPr>
          <w:rFonts w:eastAsiaTheme="minorHAnsi" w:cs="Times New Roman"/>
          <w:szCs w:val="28"/>
          <w:lang w:eastAsia="en-US"/>
        </w:rPr>
        <w:t xml:space="preserve"> Хотя по прогнозам такие темпы роста снизятся в 2013 году в связи с новыми более жесткими условиями Центробанка РФ.</w:t>
      </w:r>
      <w:r w:rsidR="00AA16B8" w:rsidRPr="00651A12">
        <w:rPr>
          <w:rStyle w:val="FootnoteReference"/>
          <w:rFonts w:eastAsiaTheme="minorHAnsi" w:cs="Times New Roman"/>
          <w:szCs w:val="28"/>
          <w:lang w:eastAsia="en-US"/>
        </w:rPr>
        <w:footnoteReference w:id="27"/>
      </w:r>
    </w:p>
    <w:p w14:paraId="4D9550C3" w14:textId="641D1193" w:rsidR="000C3D02" w:rsidRPr="00651A12" w:rsidRDefault="000C3D02"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Также в 2012 году получила активное развитие тенденция к уходу иностранных игроков с российского рынка в связи с тем, что конкуренция и риск превысили все их ожидания, а необходимой рентабельности достигнуть не удалось.</w:t>
      </w:r>
      <w:r w:rsidR="00BB5976" w:rsidRPr="00651A12">
        <w:rPr>
          <w:rFonts w:eastAsiaTheme="minorHAnsi" w:cs="Times New Roman"/>
          <w:szCs w:val="28"/>
          <w:lang w:eastAsia="en-US"/>
        </w:rPr>
        <w:t xml:space="preserve"> Во многом это также связано с появлением сложностей в головных офисах этих банков в связи с напряженной экономической обстановкой в некоторых странах Европы, а не с экономическими проблемами в России.</w:t>
      </w:r>
    </w:p>
    <w:p w14:paraId="54012011" w14:textId="5B3AD300" w:rsidR="00BB5976" w:rsidRPr="00651A12" w:rsidRDefault="00BB5976"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В 2012 году также продолжилась тенденция к падению числа активных кредитных организаций</w:t>
      </w:r>
      <w:r w:rsidR="00B00C77" w:rsidRPr="00651A12">
        <w:rPr>
          <w:rFonts w:eastAsiaTheme="minorHAnsi" w:cs="Times New Roman"/>
          <w:szCs w:val="28"/>
          <w:lang w:eastAsia="en-US"/>
        </w:rPr>
        <w:t xml:space="preserve"> в России</w:t>
      </w:r>
      <w:r w:rsidRPr="00651A12">
        <w:rPr>
          <w:rFonts w:eastAsiaTheme="minorHAnsi" w:cs="Times New Roman"/>
          <w:szCs w:val="28"/>
          <w:lang w:eastAsia="en-US"/>
        </w:rPr>
        <w:t xml:space="preserve">. В указанном году их количество уменьшилось на 22 единицы, причем на рынок вышло только 9 новых организаций, что в свою очередь стало рекордом с 2009 года. </w:t>
      </w:r>
      <w:r w:rsidR="00B00C77" w:rsidRPr="00651A12">
        <w:rPr>
          <w:rFonts w:eastAsiaTheme="minorHAnsi" w:cs="Times New Roman"/>
          <w:szCs w:val="28"/>
          <w:lang w:eastAsia="en-US"/>
        </w:rPr>
        <w:t>При этом заметной тенденцией стал активный рост кредитных организаций с контрольным пакетом у иностра</w:t>
      </w:r>
      <w:r w:rsidR="005A1176" w:rsidRPr="00651A12">
        <w:rPr>
          <w:rFonts w:eastAsiaTheme="minorHAnsi" w:cs="Times New Roman"/>
          <w:szCs w:val="28"/>
          <w:lang w:eastAsia="en-US"/>
        </w:rPr>
        <w:t>нцев, что хорошо видно на Рис. 3</w:t>
      </w:r>
      <w:r w:rsidR="00B00C77" w:rsidRPr="00651A12">
        <w:rPr>
          <w:rFonts w:eastAsiaTheme="minorHAnsi" w:cs="Times New Roman"/>
          <w:szCs w:val="28"/>
          <w:lang w:eastAsia="en-US"/>
        </w:rPr>
        <w:t>. Это говорит о том, что банки начинают активно использовать инструменты слияний и поглощений как формы экспансии на российский рынок.</w:t>
      </w:r>
    </w:p>
    <w:p w14:paraId="5626AFAC" w14:textId="0D0093A5" w:rsidR="00A01ACF" w:rsidRPr="00651A12" w:rsidRDefault="00A01ACF" w:rsidP="006828FC">
      <w:pPr>
        <w:widowControl w:val="0"/>
        <w:autoSpaceDE w:val="0"/>
        <w:autoSpaceDN w:val="0"/>
        <w:adjustRightInd w:val="0"/>
        <w:spacing w:before="0" w:after="140" w:line="360" w:lineRule="auto"/>
        <w:ind w:right="-1" w:firstLine="284"/>
        <w:jc w:val="both"/>
        <w:rPr>
          <w:rFonts w:eastAsiaTheme="minorHAnsi" w:cs="Times New Roman"/>
          <w:b/>
          <w:szCs w:val="28"/>
          <w:lang w:eastAsia="en-US"/>
        </w:rPr>
      </w:pPr>
      <w:r w:rsidRPr="00651A12">
        <w:rPr>
          <w:rFonts w:eastAsiaTheme="minorHAnsi" w:cs="Times New Roman"/>
          <w:b/>
          <w:szCs w:val="28"/>
          <w:lang w:eastAsia="en-US"/>
        </w:rPr>
        <w:t xml:space="preserve">Рис. 2. </w:t>
      </w:r>
      <w:r w:rsidR="00C54BC5" w:rsidRPr="00651A12">
        <w:rPr>
          <w:rFonts w:eastAsiaTheme="minorHAnsi" w:cs="Times New Roman"/>
          <w:szCs w:val="28"/>
          <w:lang w:eastAsia="en-US"/>
        </w:rPr>
        <w:t>Статистика изменения числа</w:t>
      </w:r>
      <w:r w:rsidRPr="00651A12">
        <w:rPr>
          <w:rFonts w:eastAsiaTheme="minorHAnsi" w:cs="Times New Roman"/>
          <w:szCs w:val="28"/>
          <w:lang w:eastAsia="en-US"/>
        </w:rPr>
        <w:t xml:space="preserve"> банков</w:t>
      </w:r>
      <w:r w:rsidR="00C54BC5" w:rsidRPr="00651A12">
        <w:rPr>
          <w:rFonts w:eastAsiaTheme="minorHAnsi" w:cs="Times New Roman"/>
          <w:szCs w:val="28"/>
          <w:lang w:eastAsia="en-US"/>
        </w:rPr>
        <w:t xml:space="preserve"> в России с 2010 по 2013 гг.</w:t>
      </w:r>
      <w:r w:rsidRPr="00651A12">
        <w:rPr>
          <w:rStyle w:val="FootnoteReference"/>
          <w:rFonts w:eastAsiaTheme="minorHAnsi" w:cs="Times New Roman"/>
          <w:b/>
          <w:szCs w:val="28"/>
          <w:lang w:eastAsia="en-US"/>
        </w:rPr>
        <w:footnoteReference w:id="28"/>
      </w:r>
    </w:p>
    <w:p w14:paraId="4E88F553" w14:textId="77777777" w:rsidR="00B00C77" w:rsidRPr="00651A12" w:rsidRDefault="00B00C77" w:rsidP="006828FC">
      <w:pPr>
        <w:widowControl w:val="0"/>
        <w:autoSpaceDE w:val="0"/>
        <w:autoSpaceDN w:val="0"/>
        <w:adjustRightInd w:val="0"/>
        <w:spacing w:before="0" w:after="140" w:line="360" w:lineRule="auto"/>
        <w:ind w:right="-1" w:firstLine="284"/>
        <w:jc w:val="both"/>
        <w:rPr>
          <w:rFonts w:eastAsiaTheme="minorHAnsi" w:cs="Times New Roman"/>
          <w:b/>
          <w:szCs w:val="28"/>
          <w:lang w:eastAsia="en-US"/>
        </w:rPr>
      </w:pPr>
      <w:r w:rsidRPr="00651A12">
        <w:rPr>
          <w:rFonts w:eastAsiaTheme="minorHAnsi" w:cs="Times New Roman"/>
          <w:b/>
          <w:noProof/>
          <w:szCs w:val="28"/>
          <w:lang w:val="en-US" w:eastAsia="en-US"/>
        </w:rPr>
        <w:drawing>
          <wp:inline distT="0" distB="0" distL="0" distR="0" wp14:anchorId="716CBCC1" wp14:editId="3B1BD1E7">
            <wp:extent cx="5966085" cy="1451547"/>
            <wp:effectExtent l="0" t="0" r="3175" b="0"/>
            <wp:docPr id="7" name="Picture 7" descr="Macintosh HD:Users:ilyagusakov:Desktop:Снимок экрана 2013-05-18 в 22.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lyagusakov:Desktop:Снимок экрана 2013-05-18 в 22.54.37.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13413" r="-378"/>
                    <a:stretch/>
                  </pic:blipFill>
                  <pic:spPr bwMode="auto">
                    <a:xfrm>
                      <a:off x="0" y="0"/>
                      <a:ext cx="5966085" cy="1451547"/>
                    </a:xfrm>
                    <a:prstGeom prst="rect">
                      <a:avLst/>
                    </a:prstGeom>
                    <a:noFill/>
                    <a:ln>
                      <a:noFill/>
                    </a:ln>
                    <a:extLst>
                      <a:ext uri="{53640926-AAD7-44d8-BBD7-CCE9431645EC}">
                        <a14:shadowObscured xmlns:a14="http://schemas.microsoft.com/office/drawing/2010/main"/>
                      </a:ext>
                    </a:extLst>
                  </pic:spPr>
                </pic:pic>
              </a:graphicData>
            </a:graphic>
          </wp:inline>
        </w:drawing>
      </w:r>
    </w:p>
    <w:p w14:paraId="74EF2553" w14:textId="3167120D" w:rsidR="00B00C77" w:rsidRPr="00651A12" w:rsidRDefault="00B00C77" w:rsidP="006828FC">
      <w:pPr>
        <w:widowControl w:val="0"/>
        <w:autoSpaceDE w:val="0"/>
        <w:autoSpaceDN w:val="0"/>
        <w:adjustRightInd w:val="0"/>
        <w:spacing w:before="0" w:after="140" w:line="360" w:lineRule="auto"/>
        <w:ind w:right="-1" w:firstLine="284"/>
        <w:jc w:val="both"/>
        <w:rPr>
          <w:rFonts w:eastAsiaTheme="minorHAnsi" w:cs="Times New Roman"/>
          <w:b/>
          <w:szCs w:val="28"/>
          <w:lang w:eastAsia="en-US"/>
        </w:rPr>
      </w:pPr>
      <w:r w:rsidRPr="00651A12">
        <w:rPr>
          <w:rFonts w:eastAsiaTheme="minorHAnsi" w:cs="Times New Roman"/>
          <w:b/>
          <w:szCs w:val="28"/>
          <w:lang w:eastAsia="en-US"/>
        </w:rPr>
        <w:t>Источник:</w:t>
      </w:r>
      <w:r w:rsidRPr="00651A12">
        <w:rPr>
          <w:rFonts w:eastAsiaTheme="minorHAnsi" w:cs="Times New Roman"/>
          <w:szCs w:val="28"/>
          <w:lang w:eastAsia="en-US"/>
        </w:rPr>
        <w:t xml:space="preserve"> ЦБ РФ, расчеты РИА Рейтинг</w:t>
      </w:r>
      <w:r w:rsidR="00E2321B" w:rsidRPr="00651A12">
        <w:rPr>
          <w:rFonts w:eastAsiaTheme="minorHAnsi" w:cs="Times New Roman"/>
          <w:szCs w:val="28"/>
          <w:lang w:eastAsia="en-US"/>
        </w:rPr>
        <w:t xml:space="preserve"> </w:t>
      </w:r>
    </w:p>
    <w:p w14:paraId="71C6DBE7" w14:textId="067A5460" w:rsidR="00B00C77" w:rsidRPr="00651A12" w:rsidRDefault="00B00C77"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Прогнозируется, что число действующих кредитных организаций продолжить активно снижаться. Во многом это связано с непростой экономической ситуацией на рынке. Многим банкам, которые не смогут выйти на получение прибыли или хотя бы поддержки от учредителей</w:t>
      </w:r>
      <w:r w:rsidR="00375B44" w:rsidRPr="00651A12">
        <w:rPr>
          <w:rFonts w:eastAsiaTheme="minorHAnsi" w:cs="Times New Roman"/>
          <w:szCs w:val="28"/>
          <w:lang w:eastAsia="en-US"/>
        </w:rPr>
        <w:t>, придется прекратить свое существование. По данным экспертов РИА Рейтинг, к концу 2013 года на рынке останется всего лишь около 870 банков.</w:t>
      </w:r>
    </w:p>
    <w:p w14:paraId="3E815C8F" w14:textId="0DADBF49" w:rsidR="00C54BC5" w:rsidRPr="00651A12" w:rsidRDefault="00C54BC5"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szCs w:val="28"/>
          <w:lang w:eastAsia="en-US"/>
        </w:rPr>
        <w:t>Рис. 3.</w:t>
      </w:r>
      <w:r w:rsidRPr="00651A12">
        <w:rPr>
          <w:rFonts w:eastAsiaTheme="minorHAnsi" w:cs="Times New Roman"/>
          <w:szCs w:val="28"/>
          <w:lang w:eastAsia="en-US"/>
        </w:rPr>
        <w:t xml:space="preserve"> Сравнение числа действующих российских банков с кредитными организациями, контрольный пакет акций которых находится в руках иностранцев</w:t>
      </w:r>
      <w:r w:rsidRPr="00651A12">
        <w:rPr>
          <w:rStyle w:val="FootnoteReference"/>
          <w:rFonts w:eastAsiaTheme="minorHAnsi" w:cs="Times New Roman"/>
          <w:szCs w:val="28"/>
          <w:lang w:eastAsia="en-US"/>
        </w:rPr>
        <w:footnoteReference w:id="29"/>
      </w:r>
    </w:p>
    <w:p w14:paraId="2B1D1D50" w14:textId="18A45BE0" w:rsidR="000C3D02" w:rsidRPr="00651A12" w:rsidRDefault="00BB5976" w:rsidP="006828FC">
      <w:pPr>
        <w:widowControl w:val="0"/>
        <w:autoSpaceDE w:val="0"/>
        <w:autoSpaceDN w:val="0"/>
        <w:adjustRightInd w:val="0"/>
        <w:spacing w:before="0" w:after="140" w:line="360" w:lineRule="auto"/>
        <w:ind w:right="-1" w:firstLine="284"/>
        <w:jc w:val="both"/>
        <w:rPr>
          <w:rFonts w:eastAsiaTheme="minorHAnsi" w:cs="Times New Roman"/>
          <w:b/>
          <w:szCs w:val="28"/>
          <w:lang w:eastAsia="en-US"/>
        </w:rPr>
      </w:pPr>
      <w:r w:rsidRPr="00651A12">
        <w:rPr>
          <w:rFonts w:eastAsiaTheme="minorHAnsi" w:cs="Times New Roman"/>
          <w:b/>
          <w:noProof/>
          <w:szCs w:val="28"/>
          <w:lang w:val="en-US" w:eastAsia="en-US"/>
        </w:rPr>
        <w:drawing>
          <wp:inline distT="0" distB="0" distL="0" distR="0" wp14:anchorId="503E2CF7" wp14:editId="0F962247">
            <wp:extent cx="5980608" cy="2391493"/>
            <wp:effectExtent l="0" t="0" r="0" b="0"/>
            <wp:docPr id="6" name="Picture 6" descr="Macintosh HD:Users:ilyagusakov:Desktop:Снимок экрана 2013-05-18 в 22.4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lyagusakov:Desktop:Снимок экрана 2013-05-18 в 22.48.18.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2836" r="-630"/>
                    <a:stretch/>
                  </pic:blipFill>
                  <pic:spPr bwMode="auto">
                    <a:xfrm>
                      <a:off x="0" y="0"/>
                      <a:ext cx="5981075" cy="2391680"/>
                    </a:xfrm>
                    <a:prstGeom prst="rect">
                      <a:avLst/>
                    </a:prstGeom>
                    <a:noFill/>
                    <a:ln>
                      <a:noFill/>
                    </a:ln>
                    <a:extLst>
                      <a:ext uri="{53640926-AAD7-44d8-BBD7-CCE9431645EC}">
                        <a14:shadowObscured xmlns:a14="http://schemas.microsoft.com/office/drawing/2010/main"/>
                      </a:ext>
                    </a:extLst>
                  </pic:spPr>
                </pic:pic>
              </a:graphicData>
            </a:graphic>
          </wp:inline>
        </w:drawing>
      </w:r>
    </w:p>
    <w:p w14:paraId="657164EB" w14:textId="4A396BF4" w:rsidR="00B00C77" w:rsidRPr="00651A12" w:rsidRDefault="00B00C77"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i/>
          <w:szCs w:val="28"/>
          <w:lang w:eastAsia="en-US"/>
        </w:rPr>
        <w:t>Источник:</w:t>
      </w:r>
      <w:r w:rsidRPr="00651A12">
        <w:rPr>
          <w:rFonts w:eastAsiaTheme="minorHAnsi" w:cs="Times New Roman"/>
          <w:szCs w:val="28"/>
          <w:lang w:eastAsia="en-US"/>
        </w:rPr>
        <w:t xml:space="preserve"> ЦБ РФ, расчеты РИА Рейтинг</w:t>
      </w:r>
    </w:p>
    <w:p w14:paraId="288CC782" w14:textId="0D813DBD" w:rsidR="009C68A7" w:rsidRPr="00651A12" w:rsidRDefault="00375B44"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Очень важно отметить общую тенденцию на банковском рынке к увеличению числа отделений у банков. За отчетный период 2012 года количество банковских офисов возросло на 3.8%, однако, этот показатель ниже 2011 года, когда прирост составил 4.5%.</w:t>
      </w:r>
      <w:r w:rsidR="00AA16B8" w:rsidRPr="00651A12">
        <w:rPr>
          <w:rStyle w:val="FootnoteReference"/>
          <w:rFonts w:eastAsiaTheme="minorHAnsi" w:cs="Times New Roman"/>
          <w:szCs w:val="28"/>
          <w:lang w:eastAsia="en-US"/>
        </w:rPr>
        <w:footnoteReference w:id="30"/>
      </w:r>
      <w:r w:rsidR="00AA16B8" w:rsidRPr="00651A12">
        <w:rPr>
          <w:rFonts w:eastAsiaTheme="minorHAnsi" w:cs="Times New Roman"/>
          <w:szCs w:val="28"/>
          <w:lang w:eastAsia="en-US"/>
        </w:rPr>
        <w:t xml:space="preserve"> </w:t>
      </w:r>
      <w:r w:rsidRPr="00651A12">
        <w:rPr>
          <w:rFonts w:eastAsiaTheme="minorHAnsi" w:cs="Times New Roman"/>
          <w:szCs w:val="28"/>
          <w:lang w:eastAsia="en-US"/>
        </w:rPr>
        <w:t>Такая продолжающаяся тенденция роста объясняется тем, что банки еще настроены на рост банковского рынка, а доступность банковских услуг</w:t>
      </w:r>
      <w:r w:rsidR="009C68A7" w:rsidRPr="00651A12">
        <w:rPr>
          <w:rFonts w:eastAsiaTheme="minorHAnsi" w:cs="Times New Roman"/>
          <w:szCs w:val="28"/>
          <w:lang w:eastAsia="en-US"/>
        </w:rPr>
        <w:t xml:space="preserve"> для населения постоянной растет. Этот факт непосредственно связан с ростом экспансии иностранных банков на российский рынок путем проведения слияний или поглощений, так как они стремятся сразу получить значительную долю на банковском рынке России, а возможность единовременного открытия ряда отделений в различных регионах является очень привлекательным и наиболее оптимальным вариантом экспансии.</w:t>
      </w:r>
    </w:p>
    <w:p w14:paraId="6A2CEBF1" w14:textId="77777777" w:rsidR="00C54BC5" w:rsidRPr="00651A12" w:rsidRDefault="00C54BC5"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p>
    <w:p w14:paraId="713193D5" w14:textId="28C753AA" w:rsidR="00556BEA" w:rsidRPr="00651A12" w:rsidRDefault="00556BEA"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szCs w:val="28"/>
          <w:lang w:eastAsia="en-US"/>
        </w:rPr>
        <w:t>Рис. 4.</w:t>
      </w:r>
      <w:r w:rsidRPr="00651A12">
        <w:rPr>
          <w:rFonts w:eastAsiaTheme="minorHAnsi" w:cs="Times New Roman"/>
          <w:szCs w:val="28"/>
          <w:lang w:eastAsia="en-US"/>
        </w:rPr>
        <w:t xml:space="preserve"> Тенденция изменения среднего числа отделений у одного российского банка с 2010 по 2013 гг.</w:t>
      </w:r>
      <w:r w:rsidRPr="00651A12">
        <w:rPr>
          <w:rStyle w:val="FootnoteReference"/>
          <w:rFonts w:eastAsiaTheme="minorHAnsi" w:cs="Times New Roman"/>
          <w:szCs w:val="28"/>
          <w:lang w:eastAsia="en-US"/>
        </w:rPr>
        <w:footnoteReference w:id="31"/>
      </w:r>
      <w:r w:rsidRPr="00651A12">
        <w:rPr>
          <w:rFonts w:eastAsiaTheme="minorHAnsi" w:cs="Times New Roman"/>
          <w:szCs w:val="28"/>
          <w:lang w:eastAsia="en-US"/>
        </w:rPr>
        <w:t xml:space="preserve"> </w:t>
      </w:r>
    </w:p>
    <w:p w14:paraId="635A7292" w14:textId="3BCE9161" w:rsidR="00B00C77" w:rsidRPr="00651A12" w:rsidRDefault="009C68A7"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noProof/>
          <w:szCs w:val="28"/>
          <w:lang w:val="en-US" w:eastAsia="en-US"/>
        </w:rPr>
        <w:drawing>
          <wp:inline distT="0" distB="0" distL="0" distR="0" wp14:anchorId="0F5AFC66" wp14:editId="3EB42A5D">
            <wp:extent cx="5959611" cy="2098342"/>
            <wp:effectExtent l="0" t="0" r="9525" b="10160"/>
            <wp:docPr id="9" name="Picture 9" descr="Macintosh HD:Users:ilyagusakov:Desktop:Снимок экрана 2013-05-18 в 23.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lyagusakov:Desktop:Снимок экрана 2013-05-18 в 23.18.57.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06" t="11951"/>
                    <a:stretch/>
                  </pic:blipFill>
                  <pic:spPr bwMode="auto">
                    <a:xfrm>
                      <a:off x="0" y="0"/>
                      <a:ext cx="5959611" cy="2098342"/>
                    </a:xfrm>
                    <a:prstGeom prst="rect">
                      <a:avLst/>
                    </a:prstGeom>
                    <a:noFill/>
                    <a:ln>
                      <a:noFill/>
                    </a:ln>
                    <a:extLst>
                      <a:ext uri="{53640926-AAD7-44d8-BBD7-CCE9431645EC}">
                        <a14:shadowObscured xmlns:a14="http://schemas.microsoft.com/office/drawing/2010/main"/>
                      </a:ext>
                    </a:extLst>
                  </pic:spPr>
                </pic:pic>
              </a:graphicData>
            </a:graphic>
          </wp:inline>
        </w:drawing>
      </w:r>
    </w:p>
    <w:p w14:paraId="383B19A6" w14:textId="77777777" w:rsidR="000221D8" w:rsidRPr="00651A12" w:rsidRDefault="000221D8"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i/>
          <w:szCs w:val="28"/>
          <w:lang w:eastAsia="en-US"/>
        </w:rPr>
        <w:t>Источник:</w:t>
      </w:r>
      <w:r w:rsidRPr="00651A12">
        <w:rPr>
          <w:rFonts w:eastAsiaTheme="minorHAnsi" w:cs="Times New Roman"/>
          <w:szCs w:val="28"/>
          <w:lang w:eastAsia="en-US"/>
        </w:rPr>
        <w:t xml:space="preserve"> ЦБ РФ, расчеты РИА Рейтинг</w:t>
      </w:r>
    </w:p>
    <w:p w14:paraId="11744B79" w14:textId="77777777" w:rsidR="00556BEA" w:rsidRPr="00651A12" w:rsidRDefault="00E96524"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 xml:space="preserve">Не смотря на ряд трудностей, с которыми столкнулась банковская система России в 2012 году, финансовый показатели темпов роста активов оказались на достаточно высоком уровне. В указанном периоде они увеличились примерно на 19%, что меньше показателей предыдущего года, когда рост составил 23%. По мнению аналитиков РИА Рейтинг в 2013 году не ожидается серьезных потрясений, и активы вырастут примерно на 14-19%, несколько снизившись по сравнению с 2012 годом. </w:t>
      </w:r>
    </w:p>
    <w:p w14:paraId="0FDE7E01" w14:textId="6594AF0C" w:rsidR="00556BEA" w:rsidRPr="00651A12" w:rsidRDefault="00556BEA"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szCs w:val="28"/>
          <w:lang w:eastAsia="en-US"/>
        </w:rPr>
        <w:t>Рис. 5.</w:t>
      </w:r>
      <w:r w:rsidRPr="00651A12">
        <w:rPr>
          <w:rFonts w:eastAsiaTheme="minorHAnsi" w:cs="Times New Roman"/>
          <w:szCs w:val="28"/>
          <w:lang w:eastAsia="en-US"/>
        </w:rPr>
        <w:t xml:space="preserve"> Тенденция прироста активов российских банков с 2010 по 2013 гг. (1 января 2010 года = 100%)</w:t>
      </w:r>
      <w:r w:rsidRPr="00651A12">
        <w:rPr>
          <w:rStyle w:val="FootnoteReference"/>
          <w:rFonts w:eastAsiaTheme="minorHAnsi" w:cs="Times New Roman"/>
          <w:szCs w:val="28"/>
          <w:lang w:eastAsia="en-US"/>
        </w:rPr>
        <w:footnoteReference w:id="32"/>
      </w:r>
    </w:p>
    <w:p w14:paraId="1FEA2E52" w14:textId="3580237F" w:rsidR="00B00C77" w:rsidRPr="00651A12" w:rsidRDefault="00E96524"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noProof/>
          <w:szCs w:val="28"/>
          <w:lang w:val="en-US" w:eastAsia="en-US"/>
        </w:rPr>
        <w:drawing>
          <wp:inline distT="0" distB="0" distL="0" distR="0" wp14:anchorId="17ECDCB3" wp14:editId="6015EE44">
            <wp:extent cx="5910339" cy="1998896"/>
            <wp:effectExtent l="0" t="0" r="8255" b="8255"/>
            <wp:docPr id="10" name="Picture 10" descr="Macintosh HD:Users:ilyagusakov:Desktop:Снимок экрана 2013-05-18 в 23.3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lyagusakov:Desktop:Снимок экрана 2013-05-18 в 23.33.5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505" t="13042"/>
                    <a:stretch/>
                  </pic:blipFill>
                  <pic:spPr bwMode="auto">
                    <a:xfrm>
                      <a:off x="0" y="0"/>
                      <a:ext cx="5910444" cy="1998932"/>
                    </a:xfrm>
                    <a:prstGeom prst="rect">
                      <a:avLst/>
                    </a:prstGeom>
                    <a:noFill/>
                    <a:ln>
                      <a:noFill/>
                    </a:ln>
                    <a:extLst>
                      <a:ext uri="{53640926-AAD7-44d8-BBD7-CCE9431645EC}">
                        <a14:shadowObscured xmlns:a14="http://schemas.microsoft.com/office/drawing/2010/main"/>
                      </a:ext>
                    </a:extLst>
                  </pic:spPr>
                </pic:pic>
              </a:graphicData>
            </a:graphic>
          </wp:inline>
        </w:drawing>
      </w:r>
    </w:p>
    <w:p w14:paraId="0954D17A" w14:textId="77777777" w:rsidR="00E96524" w:rsidRPr="00651A12" w:rsidRDefault="00E96524"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b/>
          <w:i/>
          <w:szCs w:val="28"/>
          <w:lang w:eastAsia="en-US"/>
        </w:rPr>
        <w:t>Источник:</w:t>
      </w:r>
      <w:r w:rsidRPr="00651A12">
        <w:rPr>
          <w:rFonts w:eastAsiaTheme="minorHAnsi" w:cs="Times New Roman"/>
          <w:szCs w:val="28"/>
          <w:lang w:eastAsia="en-US"/>
        </w:rPr>
        <w:t xml:space="preserve"> ЦБ РФ, расчеты РИА Рейтинг</w:t>
      </w:r>
    </w:p>
    <w:p w14:paraId="2E680D36" w14:textId="318EE10E" w:rsidR="00E2321B" w:rsidRPr="00651A12" w:rsidRDefault="00E2321B"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p>
    <w:p w14:paraId="6E9143D9" w14:textId="553AF1E9" w:rsidR="00A82667" w:rsidRPr="00651A12" w:rsidRDefault="00010498"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Интересен тот факт, что активы тех банков, которые находятся под контролем иностранных собственников, упали в 2012 году на 1% и составили около 11%.</w:t>
      </w:r>
      <w:r w:rsidR="00556BEA" w:rsidRPr="00651A12">
        <w:rPr>
          <w:rStyle w:val="FootnoteReference"/>
          <w:rFonts w:eastAsiaTheme="minorHAnsi" w:cs="Times New Roman"/>
          <w:szCs w:val="28"/>
          <w:lang w:eastAsia="en-US"/>
        </w:rPr>
        <w:footnoteReference w:id="33"/>
      </w:r>
      <w:r w:rsidR="00556BEA" w:rsidRPr="00651A12">
        <w:rPr>
          <w:rFonts w:eastAsiaTheme="minorHAnsi" w:cs="Times New Roman"/>
          <w:szCs w:val="28"/>
          <w:lang w:eastAsia="en-US"/>
        </w:rPr>
        <w:t xml:space="preserve"> </w:t>
      </w:r>
      <w:r w:rsidRPr="00651A12">
        <w:rPr>
          <w:rFonts w:eastAsiaTheme="minorHAnsi" w:cs="Times New Roman"/>
          <w:szCs w:val="28"/>
          <w:lang w:eastAsia="en-US"/>
        </w:rPr>
        <w:t xml:space="preserve">Тенденция, связанная с уходом и сокращением деятельности иностранных банков на российском банковском рынке началась еще после кризиса и продолжается по сей день. Россию покинули такие частные банки как: Абсолют (бельгийская группа KBC), West LB и </w:t>
      </w:r>
      <w:r w:rsidR="00A82667" w:rsidRPr="00651A12">
        <w:rPr>
          <w:rFonts w:eastAsiaTheme="minorHAnsi" w:cs="Times New Roman"/>
          <w:szCs w:val="28"/>
          <w:lang w:eastAsia="en-US"/>
        </w:rPr>
        <w:t>Свенска Хандельсбанкен. Основной причиной ухода, как отмечалось ранее, стали проблемы с их основными материнскими банками, в результате чего им пришлось закрыть дочерние банки на территории России. Не всем иностранным банкам удается найти свои ниши на российском рынке, вероятно, в связи с недостаточным уровнем анализа рынка перед экспансией.</w:t>
      </w:r>
    </w:p>
    <w:p w14:paraId="4E9C1703" w14:textId="22F29A8E" w:rsidR="005A6B97" w:rsidRPr="00651A12" w:rsidRDefault="003B6E5A" w:rsidP="006828FC">
      <w:pPr>
        <w:widowControl w:val="0"/>
        <w:autoSpaceDE w:val="0"/>
        <w:autoSpaceDN w:val="0"/>
        <w:adjustRightInd w:val="0"/>
        <w:spacing w:before="0" w:after="140" w:line="360" w:lineRule="auto"/>
        <w:ind w:right="-1" w:firstLine="284"/>
        <w:jc w:val="both"/>
        <w:rPr>
          <w:rFonts w:eastAsiaTheme="minorHAnsi" w:cs="Times New Roman"/>
          <w:szCs w:val="28"/>
          <w:lang w:eastAsia="en-US"/>
        </w:rPr>
      </w:pPr>
      <w:r w:rsidRPr="00651A12">
        <w:rPr>
          <w:rFonts w:eastAsiaTheme="minorHAnsi" w:cs="Times New Roman"/>
          <w:szCs w:val="28"/>
          <w:lang w:eastAsia="en-US"/>
        </w:rPr>
        <w:t>Таким образом, главной тенденцией 2012 года</w:t>
      </w:r>
      <w:r w:rsidR="007873D2" w:rsidRPr="00651A12">
        <w:rPr>
          <w:rFonts w:eastAsiaTheme="minorHAnsi" w:cs="Times New Roman"/>
          <w:szCs w:val="28"/>
          <w:lang w:eastAsia="en-US"/>
        </w:rPr>
        <w:t xml:space="preserve"> стало усилении банковской специализации, что привело к росту фокусирования банков на конкретных направлениях деятельности.</w:t>
      </w:r>
      <w:r w:rsidR="00951770" w:rsidRPr="00651A12">
        <w:rPr>
          <w:rStyle w:val="FootnoteReference"/>
          <w:rFonts w:eastAsiaTheme="minorHAnsi" w:cs="Times New Roman"/>
          <w:szCs w:val="28"/>
          <w:lang w:eastAsia="en-US"/>
        </w:rPr>
        <w:footnoteReference w:id="34"/>
      </w:r>
      <w:r w:rsidR="00AA16B8" w:rsidRPr="00651A12">
        <w:rPr>
          <w:rFonts w:eastAsiaTheme="minorHAnsi" w:cs="Times New Roman"/>
          <w:szCs w:val="28"/>
          <w:lang w:eastAsia="en-US"/>
        </w:rPr>
        <w:t xml:space="preserve"> </w:t>
      </w:r>
      <w:r w:rsidR="007873D2" w:rsidRPr="00651A12">
        <w:rPr>
          <w:rFonts w:eastAsiaTheme="minorHAnsi" w:cs="Times New Roman"/>
          <w:szCs w:val="28"/>
          <w:lang w:eastAsia="en-US"/>
        </w:rPr>
        <w:t>Этот факт также связан с попыткой банков максимизировать прибыль путем снижения издержек. По мнению экспертов РИА Рейтинг, 2013 год станет продолжением подобной сегментации банков, как формы дальнейшего развития.</w:t>
      </w:r>
    </w:p>
    <w:p w14:paraId="05F8B54B" w14:textId="4BDB98AD" w:rsidR="003617C6" w:rsidRPr="00651A12" w:rsidRDefault="008E65F7" w:rsidP="006828FC">
      <w:pPr>
        <w:pStyle w:val="NoSpacing"/>
        <w:spacing w:line="360" w:lineRule="auto"/>
        <w:ind w:right="-1" w:firstLine="284"/>
        <w:jc w:val="both"/>
        <w:rPr>
          <w:rFonts w:ascii="Times New Roman" w:hAnsi="Times New Roman" w:cs="Times New Roman"/>
          <w:b/>
          <w:sz w:val="28"/>
          <w:szCs w:val="28"/>
        </w:rPr>
      </w:pPr>
      <w:r w:rsidRPr="00651A12">
        <w:rPr>
          <w:rFonts w:ascii="Times New Roman" w:hAnsi="Times New Roman" w:cs="Times New Roman"/>
          <w:b/>
          <w:sz w:val="28"/>
          <w:szCs w:val="28"/>
        </w:rPr>
        <w:t>2.2.</w:t>
      </w:r>
      <w:r w:rsidR="003617C6" w:rsidRPr="00651A12">
        <w:rPr>
          <w:rFonts w:ascii="Times New Roman" w:hAnsi="Times New Roman" w:cs="Times New Roman"/>
          <w:b/>
          <w:sz w:val="28"/>
          <w:szCs w:val="28"/>
        </w:rPr>
        <w:t xml:space="preserve"> </w:t>
      </w:r>
      <w:r w:rsidR="00BA48D0" w:rsidRPr="00651A12">
        <w:rPr>
          <w:rFonts w:ascii="Times New Roman" w:hAnsi="Times New Roman" w:cs="Times New Roman"/>
          <w:b/>
          <w:sz w:val="28"/>
          <w:szCs w:val="28"/>
        </w:rPr>
        <w:t>Современные тенденции интеграции процессов в банковском секторе</w:t>
      </w:r>
    </w:p>
    <w:p w14:paraId="17EFCB54" w14:textId="5B5FC844" w:rsidR="00BA48D0" w:rsidRPr="00651A12" w:rsidRDefault="00BA48D0" w:rsidP="006828FC">
      <w:pPr>
        <w:pStyle w:val="NoSpacing"/>
        <w:spacing w:line="360" w:lineRule="auto"/>
        <w:ind w:right="-1" w:firstLine="284"/>
        <w:jc w:val="both"/>
        <w:rPr>
          <w:rFonts w:ascii="Times New Roman" w:hAnsi="Times New Roman" w:cs="Times New Roman"/>
          <w:sz w:val="28"/>
          <w:szCs w:val="28"/>
        </w:rPr>
      </w:pPr>
      <w:r w:rsidRPr="00651A12">
        <w:rPr>
          <w:rFonts w:ascii="Times New Roman" w:hAnsi="Times New Roman" w:cs="Times New Roman"/>
          <w:sz w:val="28"/>
          <w:szCs w:val="28"/>
        </w:rPr>
        <w:t>Банковский сектор на рынке слияний и поглощений радикально меняется под давлением экономического роста и долгового кризиса в Европе. При этом в последние годы падает активность на данном рынке, сопровождаясь снижением числа и стоимости сделок слияний и поглощений, что говорит о радикальных изменениях в правовой и экономической среде.</w:t>
      </w:r>
      <w:r w:rsidR="00C95B63" w:rsidRPr="00651A12">
        <w:rPr>
          <w:rFonts w:ascii="Times New Roman" w:hAnsi="Times New Roman" w:cs="Times New Roman"/>
          <w:sz w:val="28"/>
          <w:szCs w:val="28"/>
        </w:rPr>
        <w:t xml:space="preserve"> В целом мировой рынок слияний и поглощений составил 2.4 трлн. долл. в 2012 году, достигнув доли рынка в 3.2% от ВВП.</w:t>
      </w:r>
      <w:r w:rsidRPr="00651A12">
        <w:rPr>
          <w:rFonts w:ascii="Times New Roman" w:hAnsi="Times New Roman" w:cs="Times New Roman"/>
          <w:sz w:val="28"/>
          <w:szCs w:val="28"/>
        </w:rPr>
        <w:t xml:space="preserve"> Влияние на банковский сегмент рынка слияний и поглощений продолжит оказывать европейский кризис суверенных долговых обязательств до окончания любых кризисных явлений. В связи с тем, что в еврозоне сейчас развивается как экономическая, так и политическая неопределенность, становится сложно прогнозировать уровень будущего обесценивания активов, вести переговоры о сумме сделок, а также привлекать долгосрочные инвестиции. </w:t>
      </w:r>
      <w:r w:rsidR="00901955" w:rsidRPr="00651A12">
        <w:rPr>
          <w:rStyle w:val="FootnoteReference"/>
          <w:rFonts w:ascii="Times New Roman" w:hAnsi="Times New Roman" w:cs="Times New Roman"/>
          <w:sz w:val="28"/>
          <w:szCs w:val="28"/>
        </w:rPr>
        <w:footnoteReference w:id="35"/>
      </w:r>
      <w:r w:rsidRPr="00651A12">
        <w:rPr>
          <w:rFonts w:ascii="Times New Roman" w:hAnsi="Times New Roman" w:cs="Times New Roman"/>
          <w:sz w:val="28"/>
          <w:szCs w:val="28"/>
        </w:rPr>
        <w:t>Поэтому происходит падение доверия к подобным сделкам, и снижается их активность, что говорит не об обычном циклическом спаде, а о грядущих переменах во всей отрасли.</w:t>
      </w:r>
      <w:r w:rsidR="00A87BD0" w:rsidRPr="00651A12">
        <w:rPr>
          <w:rFonts w:ascii="Times New Roman" w:hAnsi="Times New Roman" w:cs="Times New Roman"/>
          <w:sz w:val="28"/>
          <w:szCs w:val="28"/>
        </w:rPr>
        <w:t xml:space="preserve"> </w:t>
      </w:r>
    </w:p>
    <w:p w14:paraId="65581DF8" w14:textId="287BBEC1" w:rsidR="00BA48D0" w:rsidRPr="00651A12" w:rsidRDefault="00BA48D0" w:rsidP="006828FC">
      <w:pPr>
        <w:pStyle w:val="NoSpacing"/>
        <w:spacing w:line="360" w:lineRule="auto"/>
        <w:ind w:right="-1" w:firstLine="284"/>
        <w:jc w:val="both"/>
        <w:rPr>
          <w:rFonts w:ascii="Times New Roman" w:hAnsi="Times New Roman" w:cs="Times New Roman"/>
          <w:sz w:val="28"/>
          <w:szCs w:val="28"/>
        </w:rPr>
      </w:pPr>
      <w:r w:rsidRPr="00651A12">
        <w:rPr>
          <w:rFonts w:ascii="Times New Roman" w:hAnsi="Times New Roman" w:cs="Times New Roman"/>
          <w:sz w:val="28"/>
          <w:szCs w:val="28"/>
        </w:rPr>
        <w:t>Ситуация на банковском рынке слияний и поглощений США немного лучше, хотя многим банкам все-таки предстоит серьезная реорганизация. При этом наиболее стойкие банки имеют хорошие возможности для выхода на новые иностранные рынки в таких условиях.</w:t>
      </w:r>
      <w:r w:rsidR="00405EC9" w:rsidRPr="00651A12">
        <w:rPr>
          <w:rStyle w:val="FootnoteReference"/>
          <w:rFonts w:ascii="Times New Roman" w:hAnsi="Times New Roman" w:cs="Times New Roman"/>
          <w:sz w:val="28"/>
          <w:szCs w:val="28"/>
        </w:rPr>
        <w:footnoteReference w:id="36"/>
      </w:r>
      <w:r w:rsidR="00C95B63" w:rsidRPr="00651A12">
        <w:rPr>
          <w:rFonts w:ascii="Times New Roman" w:hAnsi="Times New Roman" w:cs="Times New Roman"/>
          <w:sz w:val="28"/>
          <w:szCs w:val="28"/>
        </w:rPr>
        <w:t xml:space="preserve"> Для сравнения доля США в мировом рынке слияний и поглощений составила 42%, в то время как доля Европы</w:t>
      </w:r>
      <w:r w:rsidR="00272256" w:rsidRPr="00651A12">
        <w:rPr>
          <w:rFonts w:ascii="Times New Roman" w:hAnsi="Times New Roman" w:cs="Times New Roman"/>
          <w:sz w:val="28"/>
          <w:szCs w:val="28"/>
        </w:rPr>
        <w:t xml:space="preserve"> находится на уровне 27% от общего числа сделок в мире.</w:t>
      </w:r>
      <w:r w:rsidR="00F24622" w:rsidRPr="00651A12">
        <w:rPr>
          <w:rFonts w:ascii="Times New Roman" w:hAnsi="Times New Roman" w:cs="Times New Roman"/>
          <w:sz w:val="28"/>
          <w:szCs w:val="28"/>
        </w:rPr>
        <w:t xml:space="preserve"> </w:t>
      </w:r>
      <w:r w:rsidRPr="00651A12">
        <w:rPr>
          <w:rFonts w:ascii="Times New Roman" w:hAnsi="Times New Roman" w:cs="Times New Roman"/>
          <w:sz w:val="28"/>
          <w:szCs w:val="28"/>
        </w:rPr>
        <w:t xml:space="preserve">Самыми привлекательными рынками для осуществления сделок по слияниям и поглощениям </w:t>
      </w:r>
      <w:r w:rsidR="00272256" w:rsidRPr="00651A12">
        <w:rPr>
          <w:rFonts w:ascii="Times New Roman" w:hAnsi="Times New Roman" w:cs="Times New Roman"/>
          <w:sz w:val="28"/>
          <w:szCs w:val="28"/>
        </w:rPr>
        <w:t xml:space="preserve">в ближайшее время </w:t>
      </w:r>
      <w:r w:rsidRPr="00651A12">
        <w:rPr>
          <w:rFonts w:ascii="Times New Roman" w:hAnsi="Times New Roman" w:cs="Times New Roman"/>
          <w:sz w:val="28"/>
          <w:szCs w:val="28"/>
        </w:rPr>
        <w:t>будут развивающиеся страны в Латинской Америке и Азиатско-Тихоокеанском регионе, где можно наблюдать наибольшее повышение спроса на банковские услуги в связи с увеличением потребителей среднего класса и ускорением развития корпоративного экономического сектора.</w:t>
      </w:r>
      <w:r w:rsidR="006244E5" w:rsidRPr="00651A12">
        <w:rPr>
          <w:rStyle w:val="FootnoteReference"/>
          <w:rFonts w:ascii="Times New Roman" w:hAnsi="Times New Roman" w:cs="Times New Roman"/>
          <w:sz w:val="28"/>
          <w:szCs w:val="28"/>
        </w:rPr>
        <w:footnoteReference w:id="37"/>
      </w:r>
      <w:r w:rsidR="00A87BD0" w:rsidRPr="00651A12">
        <w:rPr>
          <w:rFonts w:ascii="Times New Roman" w:hAnsi="Times New Roman" w:cs="Times New Roman"/>
          <w:sz w:val="28"/>
          <w:szCs w:val="28"/>
        </w:rPr>
        <w:t xml:space="preserve"> </w:t>
      </w:r>
      <w:r w:rsidRPr="00651A12">
        <w:rPr>
          <w:rFonts w:ascii="Times New Roman" w:hAnsi="Times New Roman" w:cs="Times New Roman"/>
          <w:sz w:val="28"/>
          <w:szCs w:val="28"/>
        </w:rPr>
        <w:t>При этом там будут преобладать в основном внутренние сделки, так как банки там сильно подвержены конкуренции и стремятся к повышению эффективности основной деятельности.</w:t>
      </w:r>
      <w:r w:rsidR="00257A15" w:rsidRPr="00651A12">
        <w:rPr>
          <w:rStyle w:val="FootnoteReference"/>
          <w:rFonts w:ascii="Times New Roman" w:hAnsi="Times New Roman" w:cs="Times New Roman"/>
          <w:sz w:val="28"/>
          <w:szCs w:val="28"/>
        </w:rPr>
        <w:footnoteReference w:id="38"/>
      </w:r>
      <w:r w:rsidR="00405EC9" w:rsidRPr="00651A12">
        <w:rPr>
          <w:rFonts w:ascii="Times New Roman" w:hAnsi="Times New Roman" w:cs="Times New Roman"/>
          <w:sz w:val="28"/>
          <w:szCs w:val="28"/>
        </w:rPr>
        <w:t xml:space="preserve"> </w:t>
      </w:r>
      <w:r w:rsidRPr="00651A12">
        <w:rPr>
          <w:rFonts w:ascii="Times New Roman" w:hAnsi="Times New Roman" w:cs="Times New Roman"/>
          <w:sz w:val="28"/>
          <w:szCs w:val="28"/>
        </w:rPr>
        <w:t>Здесь стоит отметить, что банки в развивающихся экономиках Азии или Латинской Америке будет больше волновать стратегии, которые ориентированы на рост, в то время как в Европе и США, вероятно, банки будут более сосредоточены на определении правильного использования текущего капитала, как способа осуществления эффективной операционной реструктуризации.</w:t>
      </w:r>
      <w:r w:rsidR="006244E5" w:rsidRPr="00651A12">
        <w:rPr>
          <w:rStyle w:val="FootnoteReference"/>
          <w:rFonts w:ascii="Times New Roman" w:hAnsi="Times New Roman" w:cs="Times New Roman"/>
          <w:sz w:val="28"/>
          <w:szCs w:val="28"/>
        </w:rPr>
        <w:footnoteReference w:id="39"/>
      </w:r>
    </w:p>
    <w:p w14:paraId="68087FF8" w14:textId="77777777" w:rsidR="00F24622" w:rsidRPr="00651A12" w:rsidRDefault="00F24622"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Используя различные методы и инструменты слияний и поглощений, становится возможным эффективно управлять кредитными рисками. Минимизация таких рисков достигается путем:</w:t>
      </w:r>
      <w:r w:rsidRPr="00651A12">
        <w:rPr>
          <w:rStyle w:val="FootnoteReference"/>
          <w:rFonts w:cs="Times New Roman"/>
          <w:szCs w:val="28"/>
          <w:shd w:val="clear" w:color="auto" w:fill="FFFFFF"/>
        </w:rPr>
        <w:footnoteReference w:id="40"/>
      </w:r>
    </w:p>
    <w:p w14:paraId="29223971" w14:textId="77777777" w:rsidR="00F24622" w:rsidRPr="00651A12" w:rsidRDefault="00F24622" w:rsidP="006828FC">
      <w:pPr>
        <w:pStyle w:val="ListParagraph"/>
        <w:numPr>
          <w:ilvl w:val="0"/>
          <w:numId w:val="5"/>
        </w:numPr>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Объединения интересов во время слияний капиталов, что позволяет предоставлять более крупные и прибыльные займы, а также способствует расширению и улучшению качества клиентской базы</w:t>
      </w:r>
    </w:p>
    <w:p w14:paraId="2102708E" w14:textId="77777777" w:rsidR="00F24622" w:rsidRPr="00651A12" w:rsidRDefault="00F24622" w:rsidP="006828FC">
      <w:pPr>
        <w:pStyle w:val="ListParagraph"/>
        <w:numPr>
          <w:ilvl w:val="0"/>
          <w:numId w:val="5"/>
        </w:numPr>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Применения новых технологий, что позволяет улучшить качество клиентского сервиса, скорости и эффективности управления</w:t>
      </w:r>
    </w:p>
    <w:p w14:paraId="75A4BC84" w14:textId="77777777" w:rsidR="00F24622" w:rsidRPr="00651A12" w:rsidRDefault="00F24622" w:rsidP="006828FC">
      <w:pPr>
        <w:pStyle w:val="ListParagraph"/>
        <w:numPr>
          <w:ilvl w:val="0"/>
          <w:numId w:val="5"/>
        </w:numPr>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Улучшения качества работы путем привлечения опытных сотрудников, обладающих достаточными знаниями в области работы с инструментами защиты против кредитного риска</w:t>
      </w:r>
    </w:p>
    <w:p w14:paraId="47C8AA64" w14:textId="77777777" w:rsidR="00A87BD0" w:rsidRPr="00651A12" w:rsidRDefault="00F24622" w:rsidP="006828FC">
      <w:pPr>
        <w:pStyle w:val="ListParagraph"/>
        <w:numPr>
          <w:ilvl w:val="0"/>
          <w:numId w:val="5"/>
        </w:numPr>
        <w:spacing w:line="360" w:lineRule="auto"/>
        <w:ind w:left="0" w:right="-1" w:firstLine="284"/>
        <w:jc w:val="both"/>
        <w:rPr>
          <w:rStyle w:val="apple-style-span"/>
          <w:rFonts w:cs="Times New Roman"/>
          <w:szCs w:val="28"/>
        </w:rPr>
      </w:pPr>
      <w:r w:rsidRPr="00651A12">
        <w:rPr>
          <w:rStyle w:val="apple-style-span"/>
          <w:rFonts w:cs="Times New Roman"/>
          <w:szCs w:val="28"/>
          <w:shd w:val="clear" w:color="auto" w:fill="FFFFFF"/>
        </w:rPr>
        <w:t>Расширение банковской структуры с повышением контроля над финансовыми операциями</w:t>
      </w:r>
    </w:p>
    <w:p w14:paraId="78A8EA20" w14:textId="77777777" w:rsidR="00C52FDD" w:rsidRPr="00651A12" w:rsidRDefault="00A87BD0" w:rsidP="006828FC">
      <w:pPr>
        <w:pStyle w:val="ListParagraph"/>
        <w:spacing w:line="360" w:lineRule="auto"/>
        <w:ind w:left="0"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Последний опрос, проводимый KPMG, показал, что многие банки рассматривают процессы слияний и поглощений как основной способ роста и снижения издержек за счет экономии от масштаба. Но они не просто рассматривают выход на новые рынки, но и также </w:t>
      </w:r>
      <w:r w:rsidR="00445FF1" w:rsidRPr="00651A12">
        <w:rPr>
          <w:rStyle w:val="apple-style-span"/>
          <w:rFonts w:cs="Times New Roman"/>
          <w:szCs w:val="28"/>
          <w:shd w:val="clear" w:color="auto" w:fill="FFFFFF"/>
        </w:rPr>
        <w:t>стремятся к увеличению</w:t>
      </w:r>
      <w:r w:rsidRPr="00651A12">
        <w:rPr>
          <w:rStyle w:val="apple-style-span"/>
          <w:rFonts w:cs="Times New Roman"/>
          <w:szCs w:val="28"/>
          <w:shd w:val="clear" w:color="auto" w:fill="FFFFFF"/>
        </w:rPr>
        <w:t xml:space="preserve"> своих активов для того, чтобы противостоять возможным неблагоприятным ситуациям на рынке.</w:t>
      </w:r>
      <w:r w:rsidR="00445FF1" w:rsidRPr="00651A12">
        <w:rPr>
          <w:rStyle w:val="apple-style-span"/>
          <w:rFonts w:cs="Times New Roman"/>
          <w:szCs w:val="28"/>
          <w:shd w:val="clear" w:color="auto" w:fill="FFFFFF"/>
        </w:rPr>
        <w:t xml:space="preserve"> Также около 57% опрошенных отметили, что их банк вероятнее всего будет вовлечен в слияние или поглощение в ближайшие 2 года как покупатель (42%) или как продавец (15%). </w:t>
      </w:r>
    </w:p>
    <w:p w14:paraId="14602D51" w14:textId="5626C6D7" w:rsidR="00556BEA" w:rsidRPr="00651A12" w:rsidRDefault="00556BEA" w:rsidP="006828FC">
      <w:pPr>
        <w:widowControl w:val="0"/>
        <w:autoSpaceDE w:val="0"/>
        <w:autoSpaceDN w:val="0"/>
        <w:adjustRightInd w:val="0"/>
        <w:spacing w:before="0" w:after="140" w:line="360" w:lineRule="auto"/>
        <w:ind w:right="-1" w:firstLine="284"/>
        <w:jc w:val="both"/>
        <w:rPr>
          <w:rStyle w:val="apple-style-span"/>
          <w:rFonts w:eastAsiaTheme="minorHAnsi" w:cs="Times New Roman"/>
          <w:szCs w:val="28"/>
          <w:lang w:eastAsia="en-US"/>
        </w:rPr>
      </w:pPr>
      <w:r w:rsidRPr="00651A12">
        <w:rPr>
          <w:rFonts w:eastAsiaTheme="minorHAnsi" w:cs="Times New Roman"/>
          <w:b/>
          <w:szCs w:val="28"/>
          <w:lang w:eastAsia="en-US"/>
        </w:rPr>
        <w:t>Рис. 6.</w:t>
      </w:r>
      <w:r w:rsidRPr="00651A12">
        <w:rPr>
          <w:rFonts w:eastAsiaTheme="minorHAnsi" w:cs="Times New Roman"/>
          <w:szCs w:val="28"/>
          <w:lang w:eastAsia="en-US"/>
        </w:rPr>
        <w:t xml:space="preserve"> Предпочтения банков об уровне активов у объектов сделки при слиянии или поглощении</w:t>
      </w:r>
      <w:r w:rsidR="00A87FF9" w:rsidRPr="00651A12">
        <w:rPr>
          <w:rFonts w:eastAsiaTheme="minorHAnsi" w:cs="Times New Roman"/>
          <w:szCs w:val="28"/>
          <w:lang w:eastAsia="en-US"/>
        </w:rPr>
        <w:t>.</w:t>
      </w:r>
      <w:r w:rsidRPr="00651A12">
        <w:rPr>
          <w:rStyle w:val="FootnoteReference"/>
          <w:rFonts w:eastAsiaTheme="minorHAnsi" w:cs="Times New Roman"/>
          <w:szCs w:val="28"/>
          <w:lang w:eastAsia="en-US"/>
        </w:rPr>
        <w:footnoteReference w:id="41"/>
      </w:r>
    </w:p>
    <w:p w14:paraId="18516BE4" w14:textId="5F933FCD" w:rsidR="00C52FDD" w:rsidRPr="00651A12" w:rsidRDefault="00C52FDD" w:rsidP="006828FC">
      <w:pPr>
        <w:pStyle w:val="ListParagraph"/>
        <w:spacing w:line="360" w:lineRule="auto"/>
        <w:ind w:left="0" w:right="-1" w:firstLine="284"/>
        <w:jc w:val="both"/>
        <w:rPr>
          <w:rStyle w:val="apple-style-span"/>
          <w:rFonts w:cs="Times New Roman"/>
          <w:szCs w:val="28"/>
          <w:shd w:val="clear" w:color="auto" w:fill="FFFFFF"/>
        </w:rPr>
      </w:pPr>
      <w:r w:rsidRPr="00651A12">
        <w:rPr>
          <w:rFonts w:cs="Times New Roman"/>
          <w:noProof/>
          <w:szCs w:val="28"/>
          <w:lang w:val="en-US" w:eastAsia="en-US"/>
        </w:rPr>
        <w:drawing>
          <wp:inline distT="0" distB="0" distL="0" distR="0" wp14:anchorId="2F03959B" wp14:editId="5E40F4E4">
            <wp:extent cx="5486400" cy="264795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9D4880" w14:textId="24613C70" w:rsidR="00FE7A5C" w:rsidRPr="00651A12" w:rsidRDefault="00FE7A5C" w:rsidP="006828FC">
      <w:pPr>
        <w:widowControl w:val="0"/>
        <w:autoSpaceDE w:val="0"/>
        <w:autoSpaceDN w:val="0"/>
        <w:adjustRightInd w:val="0"/>
        <w:spacing w:before="0" w:after="140" w:line="360" w:lineRule="auto"/>
        <w:ind w:right="-1" w:firstLine="284"/>
        <w:jc w:val="both"/>
        <w:rPr>
          <w:rStyle w:val="apple-style-span"/>
          <w:rFonts w:eastAsiaTheme="minorHAnsi" w:cs="Times New Roman"/>
          <w:szCs w:val="28"/>
          <w:lang w:val="en-US" w:eastAsia="en-US"/>
        </w:rPr>
      </w:pPr>
      <w:r w:rsidRPr="00651A12">
        <w:rPr>
          <w:rFonts w:eastAsiaTheme="minorHAnsi" w:cs="Times New Roman"/>
          <w:b/>
          <w:i/>
          <w:szCs w:val="28"/>
          <w:lang w:eastAsia="en-US"/>
        </w:rPr>
        <w:t>Источник</w:t>
      </w:r>
      <w:r w:rsidRPr="00651A12">
        <w:rPr>
          <w:rFonts w:eastAsiaTheme="minorHAnsi" w:cs="Times New Roman"/>
          <w:b/>
          <w:i/>
          <w:szCs w:val="28"/>
          <w:lang w:val="en-US" w:eastAsia="en-US"/>
        </w:rPr>
        <w:t>:</w:t>
      </w:r>
      <w:r w:rsidR="007819D7" w:rsidRPr="00651A12">
        <w:rPr>
          <w:rFonts w:eastAsiaTheme="minorHAnsi" w:cs="Times New Roman"/>
          <w:szCs w:val="28"/>
          <w:lang w:val="en-US" w:eastAsia="en-US"/>
        </w:rPr>
        <w:t xml:space="preserve"> KPMG:</w:t>
      </w:r>
      <w:r w:rsidRPr="00651A12">
        <w:rPr>
          <w:rFonts w:eastAsiaTheme="minorHAnsi" w:cs="Times New Roman"/>
          <w:szCs w:val="28"/>
          <w:lang w:val="en-US" w:eastAsia="en-US"/>
        </w:rPr>
        <w:t xml:space="preserve"> Community Banking Outlook Survey</w:t>
      </w:r>
      <w:r w:rsidR="007819D7" w:rsidRPr="00651A12">
        <w:rPr>
          <w:rFonts w:eastAsiaTheme="minorHAnsi" w:cs="Times New Roman"/>
          <w:szCs w:val="28"/>
          <w:lang w:val="en-US" w:eastAsia="en-US"/>
        </w:rPr>
        <w:t>, 2012</w:t>
      </w:r>
      <w:r w:rsidR="00AF0D3D" w:rsidRPr="00651A12">
        <w:rPr>
          <w:rFonts w:eastAsiaTheme="minorHAnsi" w:cs="Times New Roman"/>
          <w:szCs w:val="28"/>
          <w:lang w:val="en-US" w:eastAsia="en-US"/>
        </w:rPr>
        <w:t xml:space="preserve"> </w:t>
      </w:r>
    </w:p>
    <w:p w14:paraId="4CFC64B0" w14:textId="032AB43E" w:rsidR="00445FF1" w:rsidRPr="00651A12" w:rsidRDefault="00445FF1" w:rsidP="006828FC">
      <w:pPr>
        <w:pStyle w:val="ListParagraph"/>
        <w:spacing w:line="360" w:lineRule="auto"/>
        <w:ind w:left="0" w:right="-1" w:firstLine="284"/>
        <w:jc w:val="both"/>
        <w:rPr>
          <w:rFonts w:cs="Times New Roman"/>
          <w:szCs w:val="28"/>
          <w:shd w:val="clear" w:color="auto" w:fill="FFFFFF"/>
        </w:rPr>
      </w:pPr>
      <w:r w:rsidRPr="00651A12">
        <w:rPr>
          <w:rStyle w:val="apple-style-span"/>
          <w:rFonts w:cs="Times New Roman"/>
          <w:szCs w:val="28"/>
          <w:shd w:val="clear" w:color="auto" w:fill="FFFFFF"/>
        </w:rPr>
        <w:t>При этом 47% банков отметили, что в случае принятия решения об экспансии методом слияния или поглощения, они нацеливались бы на банки, активы которых составляют от 500 млн. долл. до 3 млрд. долл. В то время как 16% опрошенных нацелились бы на банк с активами в диапазоне от 250 млн. долл. до 500 млн. долл., и только 9% ре</w:t>
      </w:r>
      <w:r w:rsidR="00B95306" w:rsidRPr="00651A12">
        <w:rPr>
          <w:rStyle w:val="apple-style-span"/>
          <w:rFonts w:cs="Times New Roman"/>
          <w:szCs w:val="28"/>
          <w:shd w:val="clear" w:color="auto" w:fill="FFFFFF"/>
        </w:rPr>
        <w:t>спондентов ответили, что рассматривали бы банк, активы которого составляют менее 250 млн. долл.</w:t>
      </w:r>
      <w:r w:rsidR="00B95306" w:rsidRPr="00651A12">
        <w:rPr>
          <w:rStyle w:val="FootnoteReference"/>
          <w:rFonts w:cs="Times New Roman"/>
          <w:szCs w:val="28"/>
          <w:shd w:val="clear" w:color="auto" w:fill="FFFFFF"/>
        </w:rPr>
        <w:footnoteReference w:id="42"/>
      </w:r>
    </w:p>
    <w:p w14:paraId="5AE6B7FE" w14:textId="7F07DA00" w:rsidR="00B40749" w:rsidRPr="00651A12" w:rsidRDefault="00792358" w:rsidP="006828FC">
      <w:pPr>
        <w:pStyle w:val="NoSpacing"/>
        <w:spacing w:line="360" w:lineRule="auto"/>
        <w:ind w:right="-1" w:firstLine="284"/>
        <w:jc w:val="both"/>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 xml:space="preserve">2.3. </w:t>
      </w:r>
      <w:r w:rsidR="00BA48D0" w:rsidRPr="00651A12">
        <w:rPr>
          <w:rStyle w:val="apple-style-span"/>
          <w:rFonts w:ascii="Times New Roman" w:hAnsi="Times New Roman" w:cs="Times New Roman"/>
          <w:b/>
          <w:sz w:val="28"/>
          <w:szCs w:val="28"/>
          <w:shd w:val="clear" w:color="auto" w:fill="FFFFFF"/>
        </w:rPr>
        <w:t>С</w:t>
      </w:r>
      <w:r w:rsidR="003617C6" w:rsidRPr="00651A12">
        <w:rPr>
          <w:rStyle w:val="apple-style-span"/>
          <w:rFonts w:ascii="Times New Roman" w:hAnsi="Times New Roman" w:cs="Times New Roman"/>
          <w:b/>
          <w:sz w:val="28"/>
          <w:szCs w:val="28"/>
          <w:shd w:val="clear" w:color="auto" w:fill="FFFFFF"/>
        </w:rPr>
        <w:t>остояние банковских слияний и поглощений в России</w:t>
      </w:r>
      <w:r w:rsidR="00B40749" w:rsidRPr="00651A12">
        <w:rPr>
          <w:rStyle w:val="apple-style-span"/>
          <w:rFonts w:ascii="Times New Roman" w:hAnsi="Times New Roman" w:cs="Times New Roman"/>
          <w:b/>
          <w:sz w:val="28"/>
          <w:szCs w:val="28"/>
          <w:shd w:val="clear" w:color="auto" w:fill="FFFFFF"/>
        </w:rPr>
        <w:t xml:space="preserve"> </w:t>
      </w:r>
    </w:p>
    <w:p w14:paraId="369419FB" w14:textId="77777777" w:rsidR="002A1D4D" w:rsidRPr="00651A12" w:rsidRDefault="002A1D4D" w:rsidP="006828FC">
      <w:pPr>
        <w:spacing w:line="360" w:lineRule="auto"/>
        <w:ind w:right="-1" w:firstLine="284"/>
        <w:jc w:val="both"/>
        <w:rPr>
          <w:rFonts w:cs="Times New Roman"/>
          <w:szCs w:val="28"/>
        </w:rPr>
      </w:pPr>
      <w:r w:rsidRPr="00651A12">
        <w:rPr>
          <w:rFonts w:cs="Times New Roman"/>
          <w:szCs w:val="28"/>
        </w:rPr>
        <w:t>Анализируя рынок слияний и поглощений, нужно также изучить весь рынок подобных сделок в целом, так как основные тенденции роста или падения активности схожи по всем отраслям. Это связано с тем, что компании решают совершать сделки по слияниям и поглощениям только тогда, когда это позволяют рыночные условия. Сложно определить наиболее эффективное время совершения подобных сделок, так как для одних банков, у которых сосредоточены большие активы, оптимальным является период фазы роста рынка, когда они могут быстро нарастить свое присутствие в других регионах и странах, тем самым увеличив свою клиентскую базу. В тоже время для более мелких банков наиболее оптимально задумываться о таких сделках в период первого посткризисного оживления, когда становится возможным приобрести или объединиться с другим банком на более выгодных условиях.</w:t>
      </w:r>
    </w:p>
    <w:p w14:paraId="5DEE4FA1" w14:textId="40B5FB10" w:rsidR="00012896" w:rsidRPr="00651A12" w:rsidRDefault="00B40749" w:rsidP="006828FC">
      <w:pPr>
        <w:spacing w:line="360" w:lineRule="auto"/>
        <w:ind w:right="-1" w:firstLine="284"/>
        <w:jc w:val="both"/>
        <w:rPr>
          <w:rFonts w:cs="Times New Roman"/>
          <w:szCs w:val="28"/>
        </w:rPr>
      </w:pPr>
      <w:r w:rsidRPr="00651A12">
        <w:rPr>
          <w:rFonts w:cs="Times New Roman"/>
          <w:szCs w:val="28"/>
        </w:rPr>
        <w:t xml:space="preserve">Для начала стоит рассмотреть текущую ситуацию на рынке слияний и поглощений в России, чтобы в дальнейшем выявить закономерность общих тенденций в банковском секторе. Здесь стоит отметить, что на российском рынке в период с января по декабрь 2012 года было совершено 1040 сделок по слияниям и поглощениям. Эти данные меньше показателей 2011 года на 8% (см. таблицу 1), при этом в стоимостном объеме произошло снижение почти на 25% до отметки в $72,7 млрд. Основной пик восстановления после кризиса пришелся на 2011 год, когда рынок слияний и поглощений в России вырос более чем на 70% в стоимостном выражении по сравнению с предыдущим годом. </w:t>
      </w:r>
      <w:r w:rsidR="00012896" w:rsidRPr="00651A12">
        <w:rPr>
          <w:rFonts w:cs="Times New Roman"/>
          <w:szCs w:val="28"/>
        </w:rPr>
        <w:t>Рассматривая отраслевую специфику, стоит отметить, что доля сделок по слияниям и поглощениям в финансовом секторе составила 8.4% в 2012 году в количественном выражении от всех сделок, что ниже показателей 2011 года, когда данный показатель был на уровне 10.5%. Но хотя в стоимостном выражении произошел достаточно большой рост, в результате чего объем сделок в финансовой сфере составил почти 15% от общей доли. Лидирующей отраслью по количеству сделок сейчас является отрасль услуг и торговли, за ней следует пищевая промышленность.</w:t>
      </w:r>
      <w:r w:rsidR="007D3FF0" w:rsidRPr="00651A12">
        <w:rPr>
          <w:rStyle w:val="FootnoteReference"/>
          <w:rFonts w:cs="Times New Roman"/>
          <w:szCs w:val="28"/>
        </w:rPr>
        <w:footnoteReference w:id="43"/>
      </w:r>
      <w:r w:rsidR="00AA16B8" w:rsidRPr="00651A12">
        <w:rPr>
          <w:rFonts w:cs="Times New Roman"/>
          <w:szCs w:val="28"/>
        </w:rPr>
        <w:t xml:space="preserve"> </w:t>
      </w:r>
      <w:r w:rsidR="00012896" w:rsidRPr="00651A12">
        <w:rPr>
          <w:rFonts w:cs="Times New Roman"/>
          <w:szCs w:val="28"/>
        </w:rPr>
        <w:t>В общем</w:t>
      </w:r>
      <w:r w:rsidRPr="00651A12">
        <w:rPr>
          <w:rFonts w:cs="Times New Roman"/>
          <w:szCs w:val="28"/>
        </w:rPr>
        <w:t xml:space="preserve">, можно отметить, что хотя рынок и смог достаточно неплохо восстановиться до показателей докризисного периода, на нем все-таки наблюдается тенденция к спаду. </w:t>
      </w:r>
    </w:p>
    <w:p w14:paraId="33E2E21C" w14:textId="1A71C036" w:rsidR="00916099" w:rsidRPr="00651A12" w:rsidRDefault="00916099" w:rsidP="006828FC">
      <w:pPr>
        <w:spacing w:line="360" w:lineRule="auto"/>
        <w:ind w:right="-1" w:firstLine="284"/>
        <w:jc w:val="both"/>
        <w:rPr>
          <w:rFonts w:cs="Times New Roman"/>
          <w:szCs w:val="28"/>
        </w:rPr>
      </w:pPr>
      <w:r w:rsidRPr="00651A12">
        <w:rPr>
          <w:rFonts w:cs="Times New Roman"/>
          <w:szCs w:val="28"/>
        </w:rPr>
        <w:t xml:space="preserve">Такое снижение количества сделок во многом связано с более осторожной стратегией инвесторов в области осуществления новых сделок по слияниям и поглощениям, что в свою очередь происходит из-за тенденции к общей экономической неопределенности на рынке. </w:t>
      </w:r>
      <w:r w:rsidR="004308EF" w:rsidRPr="00651A12">
        <w:rPr>
          <w:rFonts w:cs="Times New Roman"/>
          <w:szCs w:val="28"/>
        </w:rPr>
        <w:t>Иностранные компании не хотят брать на себя дополнительные риски, уделяя больше внимания качеству новых активов, что сильно усложн</w:t>
      </w:r>
      <w:r w:rsidR="00C95B63" w:rsidRPr="00651A12">
        <w:rPr>
          <w:rFonts w:cs="Times New Roman"/>
          <w:szCs w:val="28"/>
        </w:rPr>
        <w:t>яет и удлиняет ход переговоров.</w:t>
      </w:r>
      <w:r w:rsidR="004308EF" w:rsidRPr="00651A12">
        <w:rPr>
          <w:rFonts w:cs="Times New Roman"/>
          <w:szCs w:val="28"/>
        </w:rPr>
        <w:t xml:space="preserve"> </w:t>
      </w:r>
      <w:r w:rsidR="00B40749" w:rsidRPr="00651A12">
        <w:rPr>
          <w:rFonts w:cs="Times New Roman"/>
          <w:szCs w:val="28"/>
        </w:rPr>
        <w:t>Сейчас рынок стремится к созданию новых точек опоры после серьезного падения более чем в</w:t>
      </w:r>
      <w:r w:rsidRPr="00651A12">
        <w:rPr>
          <w:rFonts w:cs="Times New Roman"/>
          <w:szCs w:val="28"/>
        </w:rPr>
        <w:t xml:space="preserve"> 2 раза во время кризиса, но при</w:t>
      </w:r>
      <w:r w:rsidR="00B40749" w:rsidRPr="00651A12">
        <w:rPr>
          <w:rFonts w:cs="Times New Roman"/>
          <w:szCs w:val="28"/>
        </w:rPr>
        <w:t xml:space="preserve"> этом он превышает все </w:t>
      </w:r>
      <w:r w:rsidRPr="00651A12">
        <w:rPr>
          <w:rFonts w:cs="Times New Roman"/>
          <w:szCs w:val="28"/>
        </w:rPr>
        <w:t>п</w:t>
      </w:r>
      <w:r w:rsidR="00B40749" w:rsidRPr="00651A12">
        <w:rPr>
          <w:rFonts w:cs="Times New Roman"/>
          <w:szCs w:val="28"/>
        </w:rPr>
        <w:t>оказатели в период с 2001</w:t>
      </w:r>
      <w:r w:rsidR="008648E6" w:rsidRPr="00651A12">
        <w:rPr>
          <w:rFonts w:cs="Times New Roman"/>
          <w:szCs w:val="28"/>
        </w:rPr>
        <w:t xml:space="preserve"> по 2006 год.</w:t>
      </w:r>
      <w:r w:rsidR="00C95B63" w:rsidRPr="00651A12">
        <w:rPr>
          <w:rFonts w:cs="Times New Roman"/>
          <w:szCs w:val="28"/>
        </w:rPr>
        <w:t xml:space="preserve"> </w:t>
      </w:r>
    </w:p>
    <w:p w14:paraId="5A99CFF2" w14:textId="3EA373B2" w:rsidR="00C54BC5" w:rsidRPr="00651A12" w:rsidRDefault="00C54BC5" w:rsidP="006828FC">
      <w:pPr>
        <w:spacing w:line="360" w:lineRule="auto"/>
        <w:ind w:right="-1" w:firstLine="284"/>
        <w:jc w:val="both"/>
        <w:rPr>
          <w:rFonts w:cs="Times New Roman"/>
          <w:szCs w:val="28"/>
        </w:rPr>
      </w:pPr>
      <w:r w:rsidRPr="00651A12">
        <w:rPr>
          <w:rFonts w:cs="Times New Roman"/>
          <w:b/>
          <w:szCs w:val="28"/>
        </w:rPr>
        <w:t>Рис. 7.</w:t>
      </w:r>
      <w:r w:rsidRPr="00651A12">
        <w:rPr>
          <w:rFonts w:cs="Times New Roman"/>
          <w:szCs w:val="28"/>
        </w:rPr>
        <w:t xml:space="preserve"> </w:t>
      </w:r>
      <w:r w:rsidRPr="00651A12">
        <w:rPr>
          <w:rFonts w:cs="Times New Roman"/>
          <w:bCs/>
          <w:szCs w:val="28"/>
        </w:rPr>
        <w:t>Объем сделок слияний и поглощений по отраслям, январь-февраль 2013 г., млн. долл.</w:t>
      </w:r>
      <w:r w:rsidRPr="00651A12">
        <w:rPr>
          <w:rStyle w:val="FootnoteReference"/>
          <w:rFonts w:cs="Times New Roman"/>
          <w:szCs w:val="28"/>
        </w:rPr>
        <w:footnoteReference w:id="44"/>
      </w:r>
    </w:p>
    <w:p w14:paraId="4A7DE3D2" w14:textId="77777777" w:rsidR="00C54BC5" w:rsidRPr="00651A12" w:rsidRDefault="00C54BC5" w:rsidP="006828FC">
      <w:pPr>
        <w:spacing w:line="360" w:lineRule="auto"/>
        <w:ind w:right="-1" w:firstLine="284"/>
        <w:jc w:val="both"/>
        <w:rPr>
          <w:rFonts w:cs="Times New Roman"/>
          <w:szCs w:val="28"/>
        </w:rPr>
      </w:pPr>
    </w:p>
    <w:p w14:paraId="602D6C4E" w14:textId="220908CB" w:rsidR="00B40749" w:rsidRPr="00651A12" w:rsidRDefault="00072618" w:rsidP="006828FC">
      <w:pPr>
        <w:spacing w:line="360" w:lineRule="auto"/>
        <w:ind w:right="-1" w:firstLine="284"/>
        <w:jc w:val="both"/>
        <w:rPr>
          <w:rFonts w:cs="Times New Roman"/>
          <w:szCs w:val="28"/>
        </w:rPr>
      </w:pPr>
      <w:r w:rsidRPr="00651A12">
        <w:rPr>
          <w:rFonts w:cs="Times New Roman"/>
          <w:noProof/>
          <w:szCs w:val="28"/>
          <w:lang w:val="en-US" w:eastAsia="en-US"/>
        </w:rPr>
        <w:drawing>
          <wp:inline distT="0" distB="0" distL="0" distR="0" wp14:anchorId="3B8D83FB" wp14:editId="3F0D0E53">
            <wp:extent cx="5334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4A4582" w14:textId="1AF44FB0" w:rsidR="008648E6" w:rsidRPr="00651A12" w:rsidRDefault="008648E6" w:rsidP="006828FC">
      <w:pPr>
        <w:spacing w:line="360" w:lineRule="auto"/>
        <w:ind w:right="-1" w:firstLine="284"/>
        <w:jc w:val="both"/>
        <w:rPr>
          <w:rFonts w:cs="Times New Roman"/>
          <w:szCs w:val="28"/>
        </w:rPr>
      </w:pPr>
      <w:r w:rsidRPr="00651A12">
        <w:rPr>
          <w:rFonts w:cs="Times New Roman"/>
          <w:b/>
          <w:i/>
          <w:szCs w:val="28"/>
        </w:rPr>
        <w:t>Источник:</w:t>
      </w:r>
      <w:r w:rsidRPr="00651A12">
        <w:rPr>
          <w:rFonts w:cs="Times New Roman"/>
          <w:szCs w:val="28"/>
        </w:rPr>
        <w:t xml:space="preserve"> </w:t>
      </w:r>
      <w:r w:rsidR="00C54BC5" w:rsidRPr="00651A12">
        <w:rPr>
          <w:rFonts w:cs="Times New Roman"/>
          <w:szCs w:val="28"/>
        </w:rPr>
        <w:t>Информационное агентство АК&amp;M</w:t>
      </w:r>
    </w:p>
    <w:p w14:paraId="05A5059C" w14:textId="43A969BD" w:rsidR="00FD4B46" w:rsidRPr="00651A12" w:rsidRDefault="00FD4B46" w:rsidP="006828FC">
      <w:pPr>
        <w:spacing w:line="360" w:lineRule="auto"/>
        <w:ind w:right="-1" w:firstLine="284"/>
        <w:jc w:val="both"/>
        <w:rPr>
          <w:rFonts w:cs="Times New Roman"/>
          <w:szCs w:val="28"/>
        </w:rPr>
      </w:pPr>
      <w:r w:rsidRPr="00651A12">
        <w:rPr>
          <w:rFonts w:cs="Times New Roman"/>
          <w:szCs w:val="28"/>
        </w:rPr>
        <w:t>В целом же в развитии процессов слияния и поглощения на российском рынке сохраняется ряд основных проблем:</w:t>
      </w:r>
      <w:r w:rsidR="00991211" w:rsidRPr="00651A12">
        <w:rPr>
          <w:rStyle w:val="FootnoteReference"/>
          <w:rFonts w:cs="Times New Roman"/>
          <w:szCs w:val="28"/>
        </w:rPr>
        <w:footnoteReference w:id="45"/>
      </w:r>
    </w:p>
    <w:p w14:paraId="501CF7D7" w14:textId="6F738B8A" w:rsidR="00FD4B46" w:rsidRPr="00651A12" w:rsidRDefault="00FD4B46" w:rsidP="006828FC">
      <w:pPr>
        <w:pStyle w:val="ListParagraph"/>
        <w:numPr>
          <w:ilvl w:val="0"/>
          <w:numId w:val="10"/>
        </w:numPr>
        <w:spacing w:line="360" w:lineRule="auto"/>
        <w:ind w:left="0" w:right="-1" w:firstLine="284"/>
        <w:jc w:val="both"/>
        <w:rPr>
          <w:rFonts w:cs="Times New Roman"/>
          <w:szCs w:val="28"/>
        </w:rPr>
      </w:pPr>
      <w:r w:rsidRPr="00651A12">
        <w:rPr>
          <w:rFonts w:cs="Times New Roman"/>
          <w:szCs w:val="28"/>
        </w:rPr>
        <w:t>большое число недружественных поглощений, которое остается значительным не смотря на тенденцию к сокращению количества жестких поглощений;</w:t>
      </w:r>
    </w:p>
    <w:p w14:paraId="3A91C8D4" w14:textId="34FE0096" w:rsidR="00FD4B46" w:rsidRPr="00651A12" w:rsidRDefault="00FD4B46" w:rsidP="006828FC">
      <w:pPr>
        <w:pStyle w:val="ListParagraph"/>
        <w:numPr>
          <w:ilvl w:val="0"/>
          <w:numId w:val="10"/>
        </w:numPr>
        <w:spacing w:line="360" w:lineRule="auto"/>
        <w:ind w:left="0" w:right="-1" w:firstLine="284"/>
        <w:jc w:val="both"/>
        <w:rPr>
          <w:rStyle w:val="apple-style-span"/>
          <w:rFonts w:cs="Times New Roman"/>
          <w:szCs w:val="28"/>
        </w:rPr>
      </w:pPr>
      <w:r w:rsidRPr="00651A12">
        <w:rPr>
          <w:rStyle w:val="apple-style-span"/>
          <w:rFonts w:cs="Times New Roman"/>
          <w:szCs w:val="28"/>
        </w:rPr>
        <w:t>интерес инвесторов при покупке компаний в основном сосредоточен на доступе к объектам инфраструктуры, ресурсам в области добычи полезных ископаемых, особенно в добыче нефти и газа, а также в наличие привлекательных объектов недвижимости.</w:t>
      </w:r>
      <w:r w:rsidR="008606C8" w:rsidRPr="00651A12">
        <w:rPr>
          <w:rStyle w:val="apple-style-span"/>
          <w:rFonts w:cs="Times New Roman"/>
          <w:szCs w:val="28"/>
        </w:rPr>
        <w:t xml:space="preserve"> При этом существует совсем небольшой интерес к приобретению высокотехнологичных производств и получению доступа к новым технологиям;</w:t>
      </w:r>
    </w:p>
    <w:p w14:paraId="71CDCAD6" w14:textId="3FEDD683" w:rsidR="00C52C18" w:rsidRPr="00651A12" w:rsidRDefault="008606C8" w:rsidP="006828FC">
      <w:pPr>
        <w:pStyle w:val="ListParagraph"/>
        <w:numPr>
          <w:ilvl w:val="0"/>
          <w:numId w:val="10"/>
        </w:numPr>
        <w:spacing w:line="360" w:lineRule="auto"/>
        <w:ind w:left="0" w:right="-1" w:firstLine="284"/>
        <w:jc w:val="both"/>
        <w:rPr>
          <w:rStyle w:val="apple-style-span"/>
          <w:rFonts w:cs="Times New Roman"/>
          <w:szCs w:val="28"/>
        </w:rPr>
      </w:pPr>
      <w:r w:rsidRPr="00651A12">
        <w:rPr>
          <w:rStyle w:val="apple-style-span"/>
          <w:rFonts w:cs="Times New Roman"/>
          <w:szCs w:val="28"/>
        </w:rPr>
        <w:t>несмотря на то, что постепенно происходит улучшение правовой среды, такие ресурсы как наличие неформальных связей и возможности поддержания своих интересов в местных органах власти</w:t>
      </w:r>
      <w:r w:rsidR="00991211" w:rsidRPr="00651A12">
        <w:rPr>
          <w:rStyle w:val="apple-style-span"/>
          <w:rFonts w:cs="Times New Roman"/>
          <w:szCs w:val="28"/>
        </w:rPr>
        <w:t>, часто становятся основными способами для присоединения и достижения реального эффекта от полученного контроля над той или иной компанией</w:t>
      </w:r>
      <w:r w:rsidR="00C52C18" w:rsidRPr="00651A12">
        <w:rPr>
          <w:rStyle w:val="apple-style-span"/>
          <w:rFonts w:cs="Times New Roman"/>
          <w:szCs w:val="28"/>
        </w:rPr>
        <w:t>.</w:t>
      </w:r>
    </w:p>
    <w:p w14:paraId="224B23A0" w14:textId="08A7B592" w:rsidR="006547BC" w:rsidRPr="00651A12" w:rsidRDefault="006547BC" w:rsidP="006828FC">
      <w:pPr>
        <w:pStyle w:val="ListParagraph"/>
        <w:spacing w:line="360" w:lineRule="auto"/>
        <w:ind w:left="0" w:right="-1" w:firstLine="284"/>
        <w:jc w:val="both"/>
        <w:rPr>
          <w:rStyle w:val="apple-style-span"/>
          <w:rFonts w:cs="Times New Roman"/>
          <w:szCs w:val="28"/>
        </w:rPr>
      </w:pPr>
      <w:r w:rsidRPr="00651A12">
        <w:rPr>
          <w:rStyle w:val="apple-style-span"/>
          <w:rFonts w:cs="Times New Roman"/>
          <w:szCs w:val="28"/>
        </w:rPr>
        <w:t>Таким образом, основной проблемой и особенностью протекающих процессов по слияниям и поглощениям в России стало преобладание враждебных сделок, что сильно затрагивает большую часть гражданского общества и приводит к дестабилизации экономических процессов, а также к развитию негативных тенденций. Причем применяемые методы поглощений почти не меняются уже на протяжении более 10 лет. Их можно разделить на 6 основных типов:</w:t>
      </w:r>
      <w:r w:rsidRPr="00651A12">
        <w:rPr>
          <w:rStyle w:val="FootnoteReference"/>
          <w:rFonts w:cs="Times New Roman"/>
          <w:szCs w:val="28"/>
        </w:rPr>
        <w:footnoteReference w:id="46"/>
      </w:r>
    </w:p>
    <w:p w14:paraId="7C07D651" w14:textId="72FDAB76"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скупка акций на вторичном рынке;</w:t>
      </w:r>
    </w:p>
    <w:p w14:paraId="31477308" w14:textId="3A58929F"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административное вовлечение в холдинги или иные группы;</w:t>
      </w:r>
    </w:p>
    <w:p w14:paraId="64EB9F5C" w14:textId="4A159DEE"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лоббирование доверительных сделок с государственными пакетами акций;</w:t>
      </w:r>
    </w:p>
    <w:p w14:paraId="3FC54B8C" w14:textId="616DFF64"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скупка и трансформация долгов в долевое участие;</w:t>
      </w:r>
    </w:p>
    <w:p w14:paraId="0C912CEA" w14:textId="51447DE3"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получение контроля через процедуры банкротства;</w:t>
      </w:r>
    </w:p>
    <w:p w14:paraId="285B4A77" w14:textId="1B5FED0C" w:rsidR="006547BC" w:rsidRPr="00651A12" w:rsidRDefault="006547BC" w:rsidP="006828FC">
      <w:pPr>
        <w:pStyle w:val="ListParagraph"/>
        <w:numPr>
          <w:ilvl w:val="0"/>
          <w:numId w:val="11"/>
        </w:numPr>
        <w:spacing w:line="360" w:lineRule="auto"/>
        <w:ind w:left="0" w:right="-1" w:firstLine="284"/>
        <w:jc w:val="both"/>
        <w:rPr>
          <w:rStyle w:val="apple-style-span"/>
          <w:rFonts w:cs="Times New Roman"/>
          <w:szCs w:val="28"/>
        </w:rPr>
      </w:pPr>
      <w:r w:rsidRPr="00651A12">
        <w:rPr>
          <w:rStyle w:val="apple-style-span"/>
          <w:rFonts w:cs="Times New Roman"/>
          <w:szCs w:val="28"/>
        </w:rPr>
        <w:t>организация судебных решений.</w:t>
      </w:r>
    </w:p>
    <w:p w14:paraId="604F2DAE" w14:textId="27223832" w:rsidR="003617C6" w:rsidRPr="00651A12" w:rsidRDefault="003617C6" w:rsidP="006828FC">
      <w:pPr>
        <w:pStyle w:val="NoSpacing"/>
        <w:spacing w:line="360" w:lineRule="auto"/>
        <w:ind w:right="-1" w:firstLine="284"/>
        <w:jc w:val="both"/>
        <w:rPr>
          <w:rFonts w:ascii="Times New Roman" w:hAnsi="Times New Roman" w:cs="Times New Roman"/>
          <w:bCs/>
          <w:sz w:val="28"/>
          <w:szCs w:val="28"/>
          <w:shd w:val="clear" w:color="auto" w:fill="FFFFFF"/>
        </w:rPr>
      </w:pPr>
      <w:r w:rsidRPr="00651A12">
        <w:rPr>
          <w:rFonts w:ascii="Times New Roman" w:hAnsi="Times New Roman" w:cs="Times New Roman"/>
          <w:bCs/>
          <w:sz w:val="28"/>
          <w:szCs w:val="28"/>
          <w:shd w:val="clear" w:color="auto" w:fill="FFFFFF"/>
        </w:rPr>
        <w:t>Изучить и описать статистику слияний и поглощений банков в России, используя при этом динамику основных показателей развития банковского сектора, чтобы понять как рост или падение количества таких сделок соответствует изменению ситуации на рынке</w:t>
      </w:r>
    </w:p>
    <w:p w14:paraId="01C0E043" w14:textId="678246E6" w:rsidR="00B40749" w:rsidRPr="00651A12" w:rsidRDefault="00BA48D0" w:rsidP="006828FC">
      <w:pPr>
        <w:spacing w:line="360" w:lineRule="auto"/>
        <w:ind w:right="-1" w:firstLine="284"/>
        <w:jc w:val="both"/>
        <w:rPr>
          <w:rFonts w:cs="Times New Roman"/>
          <w:szCs w:val="28"/>
        </w:rPr>
      </w:pPr>
      <w:r w:rsidRPr="00651A12">
        <w:rPr>
          <w:rFonts w:cs="Times New Roman"/>
          <w:szCs w:val="28"/>
        </w:rPr>
        <w:t>Анализ глобального влияния слияний и поглощений на капитализацию банков и финансовое состояние акционеров показал, что акционеры поглощенных банков обычно получают достаточно большую выгоду. Обычно цена их акций возрастает на 20-30% в начальном периоде. Однако, акционеры поглощающих банков обычно получают гораздо меньший прирост цен их акций (меньше чем 2%).</w:t>
      </w:r>
      <w:r w:rsidR="0041744D" w:rsidRPr="00651A12">
        <w:rPr>
          <w:rStyle w:val="FootnoteReference"/>
          <w:rFonts w:cs="Times New Roman"/>
          <w:szCs w:val="28"/>
        </w:rPr>
        <w:footnoteReference w:id="47"/>
      </w:r>
    </w:p>
    <w:p w14:paraId="16879442" w14:textId="046E1FBF" w:rsidR="00B40749" w:rsidRPr="00651A12" w:rsidRDefault="006547BC" w:rsidP="006828FC">
      <w:pPr>
        <w:pStyle w:val="NoSpacing"/>
        <w:spacing w:line="360" w:lineRule="auto"/>
        <w:ind w:right="-1" w:firstLine="284"/>
        <w:jc w:val="both"/>
        <w:rPr>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На внутреннем банковском рынке России ситуация немного другая. </w:t>
      </w:r>
      <w:r w:rsidR="00B40749" w:rsidRPr="00651A12">
        <w:rPr>
          <w:rStyle w:val="apple-style-span"/>
          <w:rFonts w:ascii="Times New Roman" w:hAnsi="Times New Roman" w:cs="Times New Roman"/>
          <w:sz w:val="28"/>
          <w:szCs w:val="28"/>
          <w:shd w:val="clear" w:color="auto" w:fill="FFFFFF"/>
        </w:rPr>
        <w:t>В последние годы происходит рост активности по банковским сделкам слияний и поглощений. Но хотя тут сосредоточены порядка 1000 банков, массовой консолидации еще не началось. При этом основной задачей быстро растущих банков России является получение доступа к новому капитала для будущего роста. Основным стимулом для роста числа подобных сделок является постепенный отток иностранных банков с рынка и стремление к наращиванию своего бизнеса.</w:t>
      </w:r>
    </w:p>
    <w:p w14:paraId="7C48973B" w14:textId="438F1714" w:rsidR="007873D2" w:rsidRPr="00651A12" w:rsidRDefault="0092680E"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Опыт зарубежных слияний и поглощений банков говорит о том, что обычно устанавливается баланс между рисками и возможностями во время подобных сделок. Но при сравнительном анализе банковских слияний и поглощений можно отметить, что число удачных сделок ненамного превышает число неудачных, несмотря на то, что их общественная полезность очевидна</w:t>
      </w:r>
      <w:r w:rsidR="007873D2" w:rsidRPr="00651A12">
        <w:rPr>
          <w:rStyle w:val="apple-style-span"/>
          <w:rFonts w:ascii="Times New Roman" w:hAnsi="Times New Roman" w:cs="Times New Roman"/>
          <w:sz w:val="28"/>
          <w:szCs w:val="28"/>
          <w:shd w:val="clear" w:color="auto" w:fill="FFFFFF"/>
        </w:rPr>
        <w:t>.</w:t>
      </w:r>
      <w:r w:rsidR="00901955" w:rsidRPr="00651A12">
        <w:rPr>
          <w:rStyle w:val="FootnoteReference"/>
          <w:rFonts w:ascii="Times New Roman" w:hAnsi="Times New Roman" w:cs="Times New Roman"/>
          <w:sz w:val="28"/>
          <w:szCs w:val="28"/>
          <w:shd w:val="clear" w:color="auto" w:fill="FFFFFF"/>
        </w:rPr>
        <w:footnoteReference w:id="48"/>
      </w:r>
    </w:p>
    <w:p w14:paraId="03F0FA8E" w14:textId="77777777" w:rsidR="007873D2" w:rsidRPr="00651A12" w:rsidRDefault="007873D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4EC8C498" w14:textId="77777777" w:rsidR="007873D2" w:rsidRPr="00651A12" w:rsidRDefault="007873D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072ADF1A" w14:textId="77777777" w:rsidR="007873D2" w:rsidRPr="00651A12" w:rsidRDefault="007873D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12BDA0CB" w14:textId="77777777" w:rsidR="007873D2" w:rsidRPr="00651A12" w:rsidRDefault="007873D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75BF4309" w14:textId="77777777" w:rsidR="008845E3" w:rsidRPr="00651A12" w:rsidRDefault="008845E3"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1CEF9073" w14:textId="77777777" w:rsidR="00C55353" w:rsidRPr="00651A12" w:rsidRDefault="00C55353"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2D854001" w14:textId="77777777" w:rsidR="00C55353" w:rsidRPr="00651A12" w:rsidRDefault="00C55353"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432DC9F3"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4EA94837"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4F44571F"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0BCF24BE"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05608A53" w14:textId="77777777" w:rsidR="00A87FF9" w:rsidRPr="00651A12" w:rsidRDefault="00A87FF9" w:rsidP="006053BC">
      <w:pPr>
        <w:pStyle w:val="NoSpacing"/>
        <w:spacing w:line="360" w:lineRule="auto"/>
        <w:ind w:right="-1"/>
        <w:jc w:val="both"/>
        <w:rPr>
          <w:rStyle w:val="apple-style-span"/>
          <w:rFonts w:ascii="Times New Roman" w:hAnsi="Times New Roman" w:cs="Times New Roman"/>
          <w:sz w:val="28"/>
          <w:szCs w:val="28"/>
          <w:shd w:val="clear" w:color="auto" w:fill="FFFFFF"/>
        </w:rPr>
      </w:pPr>
    </w:p>
    <w:p w14:paraId="63A753DD"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25492A97"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02F3AC84"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592DE645"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50E7C640" w14:textId="77777777" w:rsidR="00A87FF9" w:rsidRPr="00651A12" w:rsidRDefault="00A87FF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6DC78C40" w14:textId="3FD14B9E" w:rsidR="00792358" w:rsidRPr="00651A12" w:rsidRDefault="00792358" w:rsidP="006828FC">
      <w:pPr>
        <w:pStyle w:val="NoSpacing"/>
        <w:spacing w:line="360" w:lineRule="auto"/>
        <w:ind w:right="-1" w:firstLine="284"/>
        <w:jc w:val="both"/>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Глава 3. Участие иностранного капитала в банковской системе России</w:t>
      </w:r>
    </w:p>
    <w:p w14:paraId="1B5C5E2D" w14:textId="52C6C210" w:rsidR="00792358" w:rsidRPr="00651A12" w:rsidRDefault="00792358" w:rsidP="006828FC">
      <w:pPr>
        <w:pStyle w:val="NoSpacing"/>
        <w:spacing w:line="360" w:lineRule="auto"/>
        <w:ind w:right="-1" w:firstLine="284"/>
        <w:jc w:val="both"/>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 xml:space="preserve">3.1. </w:t>
      </w:r>
      <w:r w:rsidR="002A1D4D" w:rsidRPr="00651A12">
        <w:rPr>
          <w:rStyle w:val="apple-style-span"/>
          <w:rFonts w:ascii="Times New Roman" w:hAnsi="Times New Roman" w:cs="Times New Roman"/>
          <w:b/>
          <w:sz w:val="28"/>
          <w:szCs w:val="28"/>
          <w:shd w:val="clear" w:color="auto" w:fill="FFFFFF"/>
        </w:rPr>
        <w:t xml:space="preserve">Особенности процесса иностранной экспансии на российский банковский рынок </w:t>
      </w:r>
    </w:p>
    <w:p w14:paraId="12AA444F" w14:textId="290B4F8F" w:rsidR="00B40749" w:rsidRPr="00651A12" w:rsidRDefault="00602B41"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Для того, чтобы понять особенности экспансии иностранных банков на российский финансовый рынок, нужно проанализировать первые этапы проникновения иностранного банковского капитала на российский рынок</w:t>
      </w:r>
      <w:r w:rsidR="001876E6" w:rsidRPr="00651A12">
        <w:rPr>
          <w:rStyle w:val="apple-style-span"/>
          <w:rFonts w:ascii="Times New Roman" w:hAnsi="Times New Roman" w:cs="Times New Roman"/>
          <w:sz w:val="28"/>
          <w:szCs w:val="28"/>
          <w:shd w:val="clear" w:color="auto" w:fill="FFFFFF"/>
        </w:rPr>
        <w:t xml:space="preserve">. Только после этого уже будет можно говорить о текущих тенденциях данных процессов, а также возможностях их будущего развития. </w:t>
      </w:r>
    </w:p>
    <w:p w14:paraId="64E68572" w14:textId="03052EEC" w:rsidR="001876E6" w:rsidRPr="00651A12" w:rsidRDefault="001A018F"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Итак, о</w:t>
      </w:r>
      <w:r w:rsidR="00602B41" w:rsidRPr="00651A12">
        <w:rPr>
          <w:rStyle w:val="apple-style-span"/>
          <w:rFonts w:ascii="Times New Roman" w:hAnsi="Times New Roman" w:cs="Times New Roman"/>
          <w:sz w:val="28"/>
          <w:szCs w:val="28"/>
          <w:shd w:val="clear" w:color="auto" w:fill="FFFFFF"/>
        </w:rPr>
        <w:t>сновное ускорение процессов слияний и поглощений банков в России началось с 2000 года, как только завершился первый этап восстановления российского банковского сектора после кризиса. В результате этого</w:t>
      </w:r>
      <w:r w:rsidR="001876E6" w:rsidRPr="00651A12">
        <w:rPr>
          <w:rStyle w:val="apple-style-span"/>
          <w:rFonts w:ascii="Times New Roman" w:hAnsi="Times New Roman" w:cs="Times New Roman"/>
          <w:sz w:val="28"/>
          <w:szCs w:val="28"/>
          <w:shd w:val="clear" w:color="auto" w:fill="FFFFFF"/>
        </w:rPr>
        <w:t xml:space="preserve"> появилась резкая необходимость в наращивании банковского капитала, чтобы удовлетворить все потребности реального сектора экономики. Поэтому начали образовываться и развиваться банковские группы и холдинги.</w:t>
      </w:r>
      <w:r w:rsidR="0041744D" w:rsidRPr="00651A12">
        <w:rPr>
          <w:rStyle w:val="FootnoteReference"/>
          <w:rFonts w:ascii="Times New Roman" w:hAnsi="Times New Roman" w:cs="Times New Roman"/>
          <w:sz w:val="28"/>
          <w:szCs w:val="28"/>
          <w:shd w:val="clear" w:color="auto" w:fill="FFFFFF"/>
        </w:rPr>
        <w:footnoteReference w:id="49"/>
      </w:r>
    </w:p>
    <w:p w14:paraId="17EDFEB8" w14:textId="32E2BD9B" w:rsidR="00792358" w:rsidRPr="00651A12" w:rsidRDefault="00792358"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Стоит отметить, что в основном только средние банки были </w:t>
      </w:r>
      <w:r w:rsidR="00465B64" w:rsidRPr="00651A12">
        <w:rPr>
          <w:rStyle w:val="apple-style-span"/>
          <w:rFonts w:ascii="Times New Roman" w:hAnsi="Times New Roman" w:cs="Times New Roman"/>
          <w:sz w:val="28"/>
          <w:szCs w:val="28"/>
          <w:shd w:val="clear" w:color="auto" w:fill="FFFFFF"/>
        </w:rPr>
        <w:t>главной</w:t>
      </w:r>
      <w:r w:rsidRPr="00651A12">
        <w:rPr>
          <w:rStyle w:val="apple-style-span"/>
          <w:rFonts w:ascii="Times New Roman" w:hAnsi="Times New Roman" w:cs="Times New Roman"/>
          <w:sz w:val="28"/>
          <w:szCs w:val="28"/>
          <w:shd w:val="clear" w:color="auto" w:fill="FFFFFF"/>
        </w:rPr>
        <w:t xml:space="preserve"> целью слияний и поглощений в России в период с 2003 по 2004 года, при этом можно выделить 3 основные группы банков, которые представляют ключевой интерес для иностранного капитала.</w:t>
      </w:r>
      <w:r w:rsidR="002A1FA8" w:rsidRPr="00651A12">
        <w:rPr>
          <w:rStyle w:val="FootnoteReference"/>
          <w:rFonts w:ascii="Times New Roman" w:hAnsi="Times New Roman" w:cs="Times New Roman"/>
          <w:sz w:val="28"/>
          <w:szCs w:val="28"/>
          <w:shd w:val="clear" w:color="auto" w:fill="FFFFFF"/>
        </w:rPr>
        <w:footnoteReference w:id="50"/>
      </w:r>
    </w:p>
    <w:p w14:paraId="343784B6" w14:textId="5D0AE518" w:rsidR="00792358" w:rsidRPr="00651A12" w:rsidRDefault="00792358"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Во-первых, это группа крупных российских банков, где можно выделить наиболее важную сделку по поглощению</w:t>
      </w:r>
      <w:r w:rsidR="00D03738" w:rsidRPr="00651A12">
        <w:rPr>
          <w:rStyle w:val="apple-style-span"/>
          <w:rFonts w:ascii="Times New Roman" w:hAnsi="Times New Roman" w:cs="Times New Roman"/>
          <w:sz w:val="28"/>
          <w:szCs w:val="28"/>
          <w:shd w:val="clear" w:color="auto" w:fill="FFFFFF"/>
        </w:rPr>
        <w:t xml:space="preserve"> французской банковской</w:t>
      </w:r>
      <w:r w:rsidRPr="00651A12">
        <w:rPr>
          <w:rStyle w:val="apple-style-span"/>
          <w:rFonts w:ascii="Times New Roman" w:hAnsi="Times New Roman" w:cs="Times New Roman"/>
          <w:sz w:val="28"/>
          <w:szCs w:val="28"/>
          <w:shd w:val="clear" w:color="auto" w:fill="FFFFFF"/>
        </w:rPr>
        <w:t xml:space="preserve"> группой </w:t>
      </w:r>
      <w:r w:rsidR="00A87FF9" w:rsidRPr="00651A12">
        <w:rPr>
          <w:rStyle w:val="apple-style-span"/>
          <w:rFonts w:ascii="Times New Roman" w:hAnsi="Times New Roman" w:cs="Times New Roman"/>
          <w:sz w:val="28"/>
          <w:szCs w:val="28"/>
          <w:shd w:val="clear" w:color="auto" w:fill="FFFFFF"/>
        </w:rPr>
        <w:t>«So</w:t>
      </w:r>
      <w:r w:rsidR="00A87FF9" w:rsidRPr="00651A12">
        <w:rPr>
          <w:rStyle w:val="apple-style-span"/>
          <w:rFonts w:ascii="Times New Roman" w:hAnsi="Times New Roman" w:cs="Times New Roman"/>
          <w:sz w:val="28"/>
          <w:szCs w:val="28"/>
          <w:shd w:val="clear" w:color="auto" w:fill="FFFFFF"/>
          <w:lang w:val="en-US"/>
        </w:rPr>
        <w:t>c</w:t>
      </w:r>
      <w:r w:rsidRPr="00651A12">
        <w:rPr>
          <w:rStyle w:val="apple-style-span"/>
          <w:rFonts w:ascii="Times New Roman" w:hAnsi="Times New Roman" w:cs="Times New Roman"/>
          <w:sz w:val="28"/>
          <w:szCs w:val="28"/>
          <w:shd w:val="clear" w:color="auto" w:fill="FFFFFF"/>
        </w:rPr>
        <w:t>iete Generale</w:t>
      </w:r>
      <w:r w:rsidR="00A87FF9" w:rsidRPr="00651A12">
        <w:rPr>
          <w:rStyle w:val="apple-style-span"/>
          <w:rFonts w:ascii="Times New Roman" w:hAnsi="Times New Roman" w:cs="Times New Roman"/>
          <w:sz w:val="28"/>
          <w:szCs w:val="28"/>
          <w:shd w:val="clear" w:color="auto" w:fill="FFFFFF"/>
        </w:rPr>
        <w:t>»</w:t>
      </w:r>
      <w:r w:rsidRPr="00651A12">
        <w:rPr>
          <w:rStyle w:val="apple-style-span"/>
          <w:rFonts w:ascii="Times New Roman" w:hAnsi="Times New Roman" w:cs="Times New Roman"/>
          <w:sz w:val="28"/>
          <w:szCs w:val="28"/>
          <w:shd w:val="clear" w:color="auto" w:fill="FFFFFF"/>
        </w:rPr>
        <w:t xml:space="preserve"> 2</w:t>
      </w:r>
      <w:r w:rsidR="00D03738" w:rsidRPr="00651A12">
        <w:rPr>
          <w:rStyle w:val="apple-style-span"/>
          <w:rFonts w:ascii="Times New Roman" w:hAnsi="Times New Roman" w:cs="Times New Roman"/>
          <w:sz w:val="28"/>
          <w:szCs w:val="28"/>
          <w:shd w:val="clear" w:color="auto" w:fill="FFFFFF"/>
        </w:rPr>
        <w:t>0% минус 1 акцию</w:t>
      </w:r>
      <w:r w:rsidR="00396E84" w:rsidRPr="00651A12">
        <w:rPr>
          <w:rStyle w:val="apple-style-span"/>
          <w:rFonts w:ascii="Times New Roman" w:hAnsi="Times New Roman" w:cs="Times New Roman"/>
          <w:sz w:val="28"/>
          <w:szCs w:val="28"/>
          <w:shd w:val="clear" w:color="auto" w:fill="FFFFFF"/>
        </w:rPr>
        <w:t xml:space="preserve"> российского банка </w:t>
      </w:r>
      <w:r w:rsidR="00D03738" w:rsidRPr="00651A12">
        <w:rPr>
          <w:rStyle w:val="apple-style-span"/>
          <w:rFonts w:ascii="Times New Roman" w:hAnsi="Times New Roman" w:cs="Times New Roman"/>
          <w:sz w:val="28"/>
          <w:szCs w:val="28"/>
          <w:shd w:val="clear" w:color="auto" w:fill="FFFFFF"/>
        </w:rPr>
        <w:t>ОАО «</w:t>
      </w:r>
      <w:r w:rsidR="00396E84" w:rsidRPr="00651A12">
        <w:rPr>
          <w:rStyle w:val="apple-style-span"/>
          <w:rFonts w:ascii="Times New Roman" w:hAnsi="Times New Roman" w:cs="Times New Roman"/>
          <w:sz w:val="28"/>
          <w:szCs w:val="28"/>
          <w:shd w:val="clear" w:color="auto" w:fill="FFFFFF"/>
        </w:rPr>
        <w:t>Росбанк</w:t>
      </w:r>
      <w:r w:rsidR="00D03738" w:rsidRPr="00651A12">
        <w:rPr>
          <w:rStyle w:val="apple-style-span"/>
          <w:rFonts w:ascii="Times New Roman" w:hAnsi="Times New Roman" w:cs="Times New Roman"/>
          <w:sz w:val="28"/>
          <w:szCs w:val="28"/>
          <w:shd w:val="clear" w:color="auto" w:fill="FFFFFF"/>
        </w:rPr>
        <w:t>»</w:t>
      </w:r>
      <w:r w:rsidR="00396E84" w:rsidRPr="00651A12">
        <w:rPr>
          <w:rStyle w:val="apple-style-span"/>
          <w:rFonts w:ascii="Times New Roman" w:hAnsi="Times New Roman" w:cs="Times New Roman"/>
          <w:sz w:val="28"/>
          <w:szCs w:val="28"/>
          <w:shd w:val="clear" w:color="auto" w:fill="FFFFFF"/>
        </w:rPr>
        <w:t xml:space="preserve">. В дальнейшем эта французская группа получила также </w:t>
      </w:r>
      <w:r w:rsidR="00D03738" w:rsidRPr="00651A12">
        <w:rPr>
          <w:rStyle w:val="apple-style-span"/>
          <w:rFonts w:ascii="Times New Roman" w:hAnsi="Times New Roman" w:cs="Times New Roman"/>
          <w:sz w:val="28"/>
          <w:szCs w:val="28"/>
          <w:shd w:val="clear" w:color="auto" w:fill="FFFFFF"/>
        </w:rPr>
        <w:t>опцион</w:t>
      </w:r>
      <w:r w:rsidR="00396E84" w:rsidRPr="00651A12">
        <w:rPr>
          <w:rStyle w:val="apple-style-span"/>
          <w:rFonts w:ascii="Times New Roman" w:hAnsi="Times New Roman" w:cs="Times New Roman"/>
          <w:sz w:val="28"/>
          <w:szCs w:val="28"/>
          <w:shd w:val="clear" w:color="auto" w:fill="FFFFFF"/>
        </w:rPr>
        <w:t xml:space="preserve"> на дополнительный выкуп акций этого банка до контрольного пакета. Другие примеры включают сделки по продаже части акций </w:t>
      </w:r>
      <w:r w:rsidR="00D03738" w:rsidRPr="00651A12">
        <w:rPr>
          <w:rStyle w:val="apple-style-span"/>
          <w:rFonts w:ascii="Times New Roman" w:hAnsi="Times New Roman" w:cs="Times New Roman"/>
          <w:sz w:val="28"/>
          <w:szCs w:val="28"/>
          <w:shd w:val="clear" w:color="auto" w:fill="FFFFFF"/>
        </w:rPr>
        <w:t xml:space="preserve">«Банка Москвы» </w:t>
      </w:r>
      <w:r w:rsidR="00396E84" w:rsidRPr="00651A12">
        <w:rPr>
          <w:rStyle w:val="apple-style-span"/>
          <w:rFonts w:ascii="Times New Roman" w:hAnsi="Times New Roman" w:cs="Times New Roman"/>
          <w:sz w:val="28"/>
          <w:szCs w:val="28"/>
          <w:shd w:val="clear" w:color="auto" w:fill="FFFFFF"/>
        </w:rPr>
        <w:t xml:space="preserve">иностранным инвесторам, а также сделку </w:t>
      </w:r>
      <w:r w:rsidR="00D03738" w:rsidRPr="00651A12">
        <w:rPr>
          <w:rStyle w:val="apple-style-span"/>
          <w:rFonts w:ascii="Times New Roman" w:hAnsi="Times New Roman" w:cs="Times New Roman"/>
          <w:sz w:val="28"/>
          <w:szCs w:val="28"/>
          <w:shd w:val="clear" w:color="auto" w:fill="FFFFFF"/>
        </w:rPr>
        <w:t>«</w:t>
      </w:r>
      <w:r w:rsidR="00396E84" w:rsidRPr="00651A12">
        <w:rPr>
          <w:rStyle w:val="apple-style-span"/>
          <w:rFonts w:ascii="Times New Roman" w:hAnsi="Times New Roman" w:cs="Times New Roman"/>
          <w:sz w:val="28"/>
          <w:szCs w:val="28"/>
          <w:shd w:val="clear" w:color="auto" w:fill="FFFFFF"/>
        </w:rPr>
        <w:t>Газпромбанка</w:t>
      </w:r>
      <w:r w:rsidR="00D03738" w:rsidRPr="00651A12">
        <w:rPr>
          <w:rStyle w:val="apple-style-span"/>
          <w:rFonts w:ascii="Times New Roman" w:hAnsi="Times New Roman" w:cs="Times New Roman"/>
          <w:sz w:val="28"/>
          <w:szCs w:val="28"/>
          <w:shd w:val="clear" w:color="auto" w:fill="FFFFFF"/>
        </w:rPr>
        <w:t>»</w:t>
      </w:r>
      <w:r w:rsidR="00396E84" w:rsidRPr="00651A12">
        <w:rPr>
          <w:rStyle w:val="apple-style-span"/>
          <w:rFonts w:ascii="Times New Roman" w:hAnsi="Times New Roman" w:cs="Times New Roman"/>
          <w:sz w:val="28"/>
          <w:szCs w:val="28"/>
          <w:shd w:val="clear" w:color="auto" w:fill="FFFFFF"/>
        </w:rPr>
        <w:t>, связанную с про</w:t>
      </w:r>
      <w:r w:rsidR="00D03738" w:rsidRPr="00651A12">
        <w:rPr>
          <w:rStyle w:val="apple-style-span"/>
          <w:rFonts w:ascii="Times New Roman" w:hAnsi="Times New Roman" w:cs="Times New Roman"/>
          <w:sz w:val="28"/>
          <w:szCs w:val="28"/>
          <w:shd w:val="clear" w:color="auto" w:fill="FFFFFF"/>
        </w:rPr>
        <w:t>дажей контрольного пакета акций немецкому</w:t>
      </w:r>
      <w:r w:rsidR="00A87FF9" w:rsidRPr="00651A12">
        <w:rPr>
          <w:rStyle w:val="apple-style-span"/>
          <w:rFonts w:ascii="Times New Roman" w:hAnsi="Times New Roman" w:cs="Times New Roman"/>
          <w:sz w:val="28"/>
          <w:szCs w:val="28"/>
          <w:shd w:val="clear" w:color="auto" w:fill="FFFFFF"/>
        </w:rPr>
        <w:t xml:space="preserve"> банку</w:t>
      </w:r>
      <w:r w:rsidR="00D03738" w:rsidRPr="00651A12">
        <w:rPr>
          <w:rStyle w:val="apple-style-span"/>
          <w:rFonts w:ascii="Times New Roman" w:hAnsi="Times New Roman" w:cs="Times New Roman"/>
          <w:sz w:val="28"/>
          <w:szCs w:val="28"/>
          <w:shd w:val="clear" w:color="auto" w:fill="FFFFFF"/>
        </w:rPr>
        <w:t xml:space="preserve"> </w:t>
      </w:r>
      <w:r w:rsidR="00A87FF9" w:rsidRPr="00651A12">
        <w:rPr>
          <w:rStyle w:val="apple-style-span"/>
          <w:rFonts w:ascii="Times New Roman" w:hAnsi="Times New Roman" w:cs="Times New Roman"/>
          <w:sz w:val="28"/>
          <w:szCs w:val="28"/>
          <w:shd w:val="clear" w:color="auto" w:fill="FFFFFF"/>
        </w:rPr>
        <w:t>«Dresdner»</w:t>
      </w:r>
      <w:r w:rsidR="00396E84" w:rsidRPr="00651A12">
        <w:rPr>
          <w:rStyle w:val="apple-style-span"/>
          <w:rFonts w:ascii="Times New Roman" w:hAnsi="Times New Roman" w:cs="Times New Roman"/>
          <w:sz w:val="28"/>
          <w:szCs w:val="28"/>
          <w:shd w:val="clear" w:color="auto" w:fill="FFFFFF"/>
        </w:rPr>
        <w:t>.</w:t>
      </w:r>
      <w:r w:rsidR="00D03738" w:rsidRPr="00651A12">
        <w:rPr>
          <w:rStyle w:val="apple-style-span"/>
          <w:rFonts w:ascii="Times New Roman" w:hAnsi="Times New Roman" w:cs="Times New Roman"/>
          <w:sz w:val="28"/>
          <w:szCs w:val="28"/>
          <w:shd w:val="clear" w:color="auto" w:fill="FFFFFF"/>
        </w:rPr>
        <w:t xml:space="preserve"> Главный стимул по поглощению крупных банков заключается в возможности сразу получить заметную долю на другом </w:t>
      </w:r>
      <w:r w:rsidR="009A4DDD" w:rsidRPr="00651A12">
        <w:rPr>
          <w:rStyle w:val="apple-style-span"/>
          <w:rFonts w:ascii="Times New Roman" w:hAnsi="Times New Roman" w:cs="Times New Roman"/>
          <w:sz w:val="28"/>
          <w:szCs w:val="28"/>
          <w:shd w:val="clear" w:color="auto" w:fill="FFFFFF"/>
        </w:rPr>
        <w:t xml:space="preserve">банковском </w:t>
      </w:r>
      <w:r w:rsidR="00D03738" w:rsidRPr="00651A12">
        <w:rPr>
          <w:rStyle w:val="apple-style-span"/>
          <w:rFonts w:ascii="Times New Roman" w:hAnsi="Times New Roman" w:cs="Times New Roman"/>
          <w:sz w:val="28"/>
          <w:szCs w:val="28"/>
          <w:shd w:val="clear" w:color="auto" w:fill="FFFFFF"/>
        </w:rPr>
        <w:t>рынке</w:t>
      </w:r>
      <w:r w:rsidR="009A4DDD" w:rsidRPr="00651A12">
        <w:rPr>
          <w:rStyle w:val="apple-style-span"/>
          <w:rFonts w:ascii="Times New Roman" w:hAnsi="Times New Roman" w:cs="Times New Roman"/>
          <w:sz w:val="28"/>
          <w:szCs w:val="28"/>
          <w:shd w:val="clear" w:color="auto" w:fill="FFFFFF"/>
        </w:rPr>
        <w:t>, а также провести консолидированную экспансию на основе одного крупного банка.</w:t>
      </w:r>
    </w:p>
    <w:p w14:paraId="58B8ED8C" w14:textId="300E9F8E" w:rsidR="00465B64" w:rsidRPr="00651A12" w:rsidRDefault="00465B64"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Во-вторых, </w:t>
      </w:r>
      <w:r w:rsidR="009A4DDD" w:rsidRPr="00651A12">
        <w:rPr>
          <w:rStyle w:val="apple-style-span"/>
          <w:rFonts w:ascii="Times New Roman" w:hAnsi="Times New Roman" w:cs="Times New Roman"/>
          <w:sz w:val="28"/>
          <w:szCs w:val="28"/>
          <w:shd w:val="clear" w:color="auto" w:fill="FFFFFF"/>
        </w:rPr>
        <w:t xml:space="preserve">это сегмент средних (розничных) российских банков, где наиболее значимыми сделками стали как раз приобретение </w:t>
      </w:r>
      <w:r w:rsidR="00A87FF9" w:rsidRPr="00651A12">
        <w:rPr>
          <w:rStyle w:val="apple-style-span"/>
          <w:rFonts w:ascii="Times New Roman" w:hAnsi="Times New Roman" w:cs="Times New Roman"/>
          <w:sz w:val="28"/>
          <w:szCs w:val="28"/>
          <w:shd w:val="clear" w:color="auto" w:fill="FFFFFF"/>
        </w:rPr>
        <w:t>«</w:t>
      </w:r>
      <w:r w:rsidR="009A4DDD" w:rsidRPr="00651A12">
        <w:rPr>
          <w:rStyle w:val="apple-style-span"/>
          <w:rFonts w:ascii="Times New Roman" w:hAnsi="Times New Roman" w:cs="Times New Roman"/>
          <w:sz w:val="28"/>
          <w:szCs w:val="28"/>
          <w:shd w:val="clear" w:color="auto" w:fill="FFFFFF"/>
        </w:rPr>
        <w:t>Raiffeisen International Bank-Holding</w:t>
      </w:r>
      <w:r w:rsidR="00A87FF9" w:rsidRPr="00651A12">
        <w:rPr>
          <w:rStyle w:val="apple-style-span"/>
          <w:rFonts w:ascii="Times New Roman" w:hAnsi="Times New Roman" w:cs="Times New Roman"/>
          <w:sz w:val="28"/>
          <w:szCs w:val="28"/>
          <w:shd w:val="clear" w:color="auto" w:fill="FFFFFF"/>
        </w:rPr>
        <w:t>»</w:t>
      </w:r>
      <w:r w:rsidR="009A4DDD" w:rsidRPr="00651A12">
        <w:rPr>
          <w:rStyle w:val="apple-style-span"/>
          <w:rFonts w:ascii="Times New Roman" w:hAnsi="Times New Roman" w:cs="Times New Roman"/>
          <w:sz w:val="28"/>
          <w:szCs w:val="28"/>
          <w:shd w:val="clear" w:color="auto" w:fill="FFFFFF"/>
        </w:rPr>
        <w:t xml:space="preserve"> розничного российского банка</w:t>
      </w:r>
      <w:r w:rsidR="001A3BD7" w:rsidRPr="00651A12">
        <w:rPr>
          <w:rStyle w:val="apple-style-span"/>
          <w:rFonts w:ascii="Times New Roman" w:hAnsi="Times New Roman" w:cs="Times New Roman"/>
          <w:sz w:val="28"/>
          <w:szCs w:val="28"/>
          <w:shd w:val="clear" w:color="auto" w:fill="FFFFFF"/>
        </w:rPr>
        <w:t xml:space="preserve"> ОАО «</w:t>
      </w:r>
      <w:r w:rsidR="009A4DDD" w:rsidRPr="00651A12">
        <w:rPr>
          <w:rStyle w:val="apple-style-span"/>
          <w:rFonts w:ascii="Times New Roman" w:hAnsi="Times New Roman" w:cs="Times New Roman"/>
          <w:sz w:val="28"/>
          <w:szCs w:val="28"/>
          <w:shd w:val="clear" w:color="auto" w:fill="FFFFFF"/>
        </w:rPr>
        <w:t>Импэксбанк</w:t>
      </w:r>
      <w:r w:rsidR="001A3BD7" w:rsidRPr="00651A12">
        <w:rPr>
          <w:rStyle w:val="apple-style-span"/>
          <w:rFonts w:ascii="Times New Roman" w:hAnsi="Times New Roman" w:cs="Times New Roman"/>
          <w:sz w:val="28"/>
          <w:szCs w:val="28"/>
          <w:shd w:val="clear" w:color="auto" w:fill="FFFFFF"/>
        </w:rPr>
        <w:t xml:space="preserve">», поглощение российского ОАО «Инвестсбербанка» венгерским </w:t>
      </w:r>
      <w:r w:rsidR="00A87FF9" w:rsidRPr="00651A12">
        <w:rPr>
          <w:rStyle w:val="apple-style-span"/>
          <w:rFonts w:ascii="Times New Roman" w:hAnsi="Times New Roman" w:cs="Times New Roman"/>
          <w:sz w:val="28"/>
          <w:szCs w:val="28"/>
          <w:shd w:val="clear" w:color="auto" w:fill="FFFFFF"/>
        </w:rPr>
        <w:t>«</w:t>
      </w:r>
      <w:r w:rsidR="001A3BD7" w:rsidRPr="00651A12">
        <w:rPr>
          <w:rStyle w:val="apple-style-span"/>
          <w:rFonts w:ascii="Times New Roman" w:hAnsi="Times New Roman" w:cs="Times New Roman"/>
          <w:sz w:val="28"/>
          <w:szCs w:val="28"/>
          <w:shd w:val="clear" w:color="auto" w:fill="FFFFFF"/>
        </w:rPr>
        <w:t>OTP-Bank</w:t>
      </w:r>
      <w:r w:rsidR="00A87FF9" w:rsidRPr="00651A12">
        <w:rPr>
          <w:rStyle w:val="apple-style-span"/>
          <w:rFonts w:ascii="Times New Roman" w:hAnsi="Times New Roman" w:cs="Times New Roman"/>
          <w:sz w:val="28"/>
          <w:szCs w:val="28"/>
          <w:shd w:val="clear" w:color="auto" w:fill="FFFFFF"/>
        </w:rPr>
        <w:t>»</w:t>
      </w:r>
      <w:r w:rsidR="00B42D33" w:rsidRPr="00651A12">
        <w:rPr>
          <w:rStyle w:val="apple-style-span"/>
          <w:rFonts w:ascii="Times New Roman" w:hAnsi="Times New Roman" w:cs="Times New Roman"/>
          <w:sz w:val="28"/>
          <w:szCs w:val="28"/>
          <w:shd w:val="clear" w:color="auto" w:fill="FFFFFF"/>
        </w:rPr>
        <w:t xml:space="preserve">, а также покупка </w:t>
      </w:r>
      <w:r w:rsidR="00535FC6" w:rsidRPr="00651A12">
        <w:rPr>
          <w:rStyle w:val="apple-style-span"/>
          <w:rFonts w:ascii="Times New Roman" w:hAnsi="Times New Roman" w:cs="Times New Roman"/>
          <w:sz w:val="28"/>
          <w:szCs w:val="28"/>
          <w:shd w:val="clear" w:color="auto" w:fill="FFFFFF"/>
        </w:rPr>
        <w:t>двух российских банков ЗАО КБ «</w:t>
      </w:r>
      <w:r w:rsidR="00B42D33" w:rsidRPr="00651A12">
        <w:rPr>
          <w:rStyle w:val="apple-style-span"/>
          <w:rFonts w:ascii="Times New Roman" w:hAnsi="Times New Roman" w:cs="Times New Roman"/>
          <w:sz w:val="28"/>
          <w:szCs w:val="28"/>
          <w:shd w:val="clear" w:color="auto" w:fill="FFFFFF"/>
        </w:rPr>
        <w:t>ДельтаКредит</w:t>
      </w:r>
      <w:r w:rsidR="00535FC6" w:rsidRPr="00651A12">
        <w:rPr>
          <w:rStyle w:val="apple-style-span"/>
          <w:rFonts w:ascii="Times New Roman" w:hAnsi="Times New Roman" w:cs="Times New Roman"/>
          <w:sz w:val="28"/>
          <w:szCs w:val="28"/>
          <w:shd w:val="clear" w:color="auto" w:fill="FFFFFF"/>
        </w:rPr>
        <w:t>» и ЗАО КБ «Про</w:t>
      </w:r>
      <w:r w:rsidR="00B42D33" w:rsidRPr="00651A12">
        <w:rPr>
          <w:rStyle w:val="apple-style-span"/>
          <w:rFonts w:ascii="Times New Roman" w:hAnsi="Times New Roman" w:cs="Times New Roman"/>
          <w:sz w:val="28"/>
          <w:szCs w:val="28"/>
          <w:shd w:val="clear" w:color="auto" w:fill="FFFFFF"/>
        </w:rPr>
        <w:t xml:space="preserve">мэк-Банк» французской группой </w:t>
      </w:r>
      <w:r w:rsidR="00A87FF9" w:rsidRPr="00651A12">
        <w:rPr>
          <w:rStyle w:val="apple-style-span"/>
          <w:rFonts w:ascii="Times New Roman" w:hAnsi="Times New Roman" w:cs="Times New Roman"/>
          <w:sz w:val="28"/>
          <w:szCs w:val="28"/>
          <w:shd w:val="clear" w:color="auto" w:fill="FFFFFF"/>
        </w:rPr>
        <w:t>«</w:t>
      </w:r>
      <w:r w:rsidR="00B42D33" w:rsidRPr="00651A12">
        <w:rPr>
          <w:rStyle w:val="apple-style-span"/>
          <w:rFonts w:ascii="Times New Roman" w:hAnsi="Times New Roman" w:cs="Times New Roman"/>
          <w:sz w:val="28"/>
          <w:szCs w:val="28"/>
          <w:shd w:val="clear" w:color="auto" w:fill="FFFFFF"/>
        </w:rPr>
        <w:t>Societe Generale</w:t>
      </w:r>
      <w:r w:rsidR="00A87FF9" w:rsidRPr="00651A12">
        <w:rPr>
          <w:rStyle w:val="apple-style-span"/>
          <w:rFonts w:ascii="Times New Roman" w:hAnsi="Times New Roman" w:cs="Times New Roman"/>
          <w:sz w:val="28"/>
          <w:szCs w:val="28"/>
          <w:shd w:val="clear" w:color="auto" w:fill="FFFFFF"/>
        </w:rPr>
        <w:t>»</w:t>
      </w:r>
      <w:r w:rsidR="00B42D33" w:rsidRPr="00651A12">
        <w:rPr>
          <w:rStyle w:val="apple-style-span"/>
          <w:rFonts w:ascii="Times New Roman" w:hAnsi="Times New Roman" w:cs="Times New Roman"/>
          <w:sz w:val="28"/>
          <w:szCs w:val="28"/>
          <w:shd w:val="clear" w:color="auto" w:fill="FFFFFF"/>
        </w:rPr>
        <w:t xml:space="preserve"> </w:t>
      </w:r>
      <w:r w:rsidR="00535FC6" w:rsidRPr="00651A12">
        <w:rPr>
          <w:rStyle w:val="apple-style-span"/>
          <w:rFonts w:ascii="Times New Roman" w:hAnsi="Times New Roman" w:cs="Times New Roman"/>
          <w:sz w:val="28"/>
          <w:szCs w:val="28"/>
          <w:shd w:val="clear" w:color="auto" w:fill="FFFFFF"/>
        </w:rPr>
        <w:t>и другие сделки. Главной целью приобретения банков данной группы является возможность войти на российский рынок и занять там перспективную рыночную позицию, особенно на рынке розничных услуг. Основными критериями для выбора такого банка иностранными инвесторами является узнаваемость бренда, а также широкая филиальная сеть по стране, которая сразу бы обеспечила наличие более менее развитой материальной базы.</w:t>
      </w:r>
    </w:p>
    <w:p w14:paraId="497DE96D" w14:textId="47D5121E" w:rsidR="00465B64" w:rsidRPr="00651A12" w:rsidRDefault="00D03738"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В-третьих, </w:t>
      </w:r>
      <w:r w:rsidR="00B647AC" w:rsidRPr="00651A12">
        <w:rPr>
          <w:rStyle w:val="apple-style-span"/>
          <w:rFonts w:ascii="Times New Roman" w:hAnsi="Times New Roman" w:cs="Times New Roman"/>
          <w:sz w:val="28"/>
          <w:szCs w:val="28"/>
          <w:shd w:val="clear" w:color="auto" w:fill="FFFFFF"/>
        </w:rPr>
        <w:t xml:space="preserve">это также группа малых банков, где наиболее известными сделками являются покупка в 2005 г. балтийским </w:t>
      </w:r>
      <w:r w:rsidR="00A87FF9" w:rsidRPr="00651A12">
        <w:rPr>
          <w:rStyle w:val="apple-style-span"/>
          <w:rFonts w:ascii="Times New Roman" w:hAnsi="Times New Roman" w:cs="Times New Roman"/>
          <w:sz w:val="28"/>
          <w:szCs w:val="28"/>
          <w:shd w:val="clear" w:color="auto" w:fill="FFFFFF"/>
        </w:rPr>
        <w:t>«</w:t>
      </w:r>
      <w:r w:rsidR="00B647AC" w:rsidRPr="00651A12">
        <w:rPr>
          <w:rStyle w:val="apple-style-span"/>
          <w:rFonts w:ascii="Times New Roman" w:hAnsi="Times New Roman" w:cs="Times New Roman"/>
          <w:sz w:val="28"/>
          <w:szCs w:val="28"/>
          <w:shd w:val="clear" w:color="auto" w:fill="FFFFFF"/>
        </w:rPr>
        <w:t>Hansabank</w:t>
      </w:r>
      <w:r w:rsidR="00A87FF9" w:rsidRPr="00651A12">
        <w:rPr>
          <w:rStyle w:val="apple-style-span"/>
          <w:rFonts w:ascii="Times New Roman" w:hAnsi="Times New Roman" w:cs="Times New Roman"/>
          <w:sz w:val="28"/>
          <w:szCs w:val="28"/>
          <w:shd w:val="clear" w:color="auto" w:fill="FFFFFF"/>
        </w:rPr>
        <w:t>»</w:t>
      </w:r>
      <w:r w:rsidR="00B647AC" w:rsidRPr="00651A12">
        <w:rPr>
          <w:rStyle w:val="apple-style-span"/>
          <w:rFonts w:ascii="Times New Roman" w:hAnsi="Times New Roman" w:cs="Times New Roman"/>
          <w:sz w:val="28"/>
          <w:szCs w:val="28"/>
          <w:shd w:val="clear" w:color="auto" w:fill="FFFFFF"/>
        </w:rPr>
        <w:t xml:space="preserve"> московского КБ «Квест», который занимался обслуживанием корпоративных клиентов в Московском регионе.</w:t>
      </w:r>
      <w:r w:rsidR="00C24E53" w:rsidRPr="00651A12">
        <w:rPr>
          <w:rStyle w:val="apple-style-span"/>
          <w:rFonts w:ascii="Times New Roman" w:hAnsi="Times New Roman" w:cs="Times New Roman"/>
          <w:sz w:val="28"/>
          <w:szCs w:val="28"/>
          <w:shd w:val="clear" w:color="auto" w:fill="FFFFFF"/>
        </w:rPr>
        <w:t xml:space="preserve"> Основная цель приобретения иностранными инвесторами подобных банков заключается в возможности получить лицензию на осуществление своей деятельно</w:t>
      </w:r>
      <w:r w:rsidR="00951271" w:rsidRPr="00651A12">
        <w:rPr>
          <w:rStyle w:val="apple-style-span"/>
          <w:rFonts w:ascii="Times New Roman" w:hAnsi="Times New Roman" w:cs="Times New Roman"/>
          <w:sz w:val="28"/>
          <w:szCs w:val="28"/>
          <w:shd w:val="clear" w:color="auto" w:fill="FFFFFF"/>
        </w:rPr>
        <w:t>сти на территории России, не проходя процедуру регистрации с нуля.</w:t>
      </w:r>
      <w:r w:rsidR="00257A15" w:rsidRPr="00651A12">
        <w:rPr>
          <w:rStyle w:val="FootnoteReference"/>
          <w:rFonts w:ascii="Times New Roman" w:hAnsi="Times New Roman" w:cs="Times New Roman"/>
          <w:sz w:val="28"/>
          <w:szCs w:val="28"/>
          <w:shd w:val="clear" w:color="auto" w:fill="FFFFFF"/>
        </w:rPr>
        <w:footnoteReference w:id="51"/>
      </w:r>
    </w:p>
    <w:p w14:paraId="2C3D62F4" w14:textId="5000DF2A" w:rsidR="00BF7EAE" w:rsidRPr="00651A12" w:rsidRDefault="009E2B27" w:rsidP="006828FC">
      <w:pPr>
        <w:pStyle w:val="NoSpacing"/>
        <w:spacing w:line="360" w:lineRule="auto"/>
        <w:ind w:right="-1" w:firstLine="284"/>
        <w:jc w:val="both"/>
        <w:rPr>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В текущих рыночных условиях банковский сектор выглядит несколько слабее, так как характер и темп сделок M&amp;A подвержены большому макроэкономическому влиянию. Таким образом, стратегии по агрессивному приобретению и скупке новых активов уходят сейчас на второй план. Сейчас основные продажи сосредотачиваются на разнообразных проблемных активах.</w:t>
      </w:r>
      <w:r w:rsidR="0041744D" w:rsidRPr="00651A12">
        <w:rPr>
          <w:rStyle w:val="FootnoteReference"/>
          <w:rFonts w:ascii="Times New Roman" w:hAnsi="Times New Roman" w:cs="Times New Roman"/>
          <w:sz w:val="28"/>
          <w:szCs w:val="28"/>
          <w:shd w:val="clear" w:color="auto" w:fill="FFFFFF"/>
        </w:rPr>
        <w:footnoteReference w:id="52"/>
      </w:r>
    </w:p>
    <w:p w14:paraId="41959F9E" w14:textId="1C04035E" w:rsidR="00792358" w:rsidRPr="00651A12" w:rsidRDefault="00792358" w:rsidP="006828FC">
      <w:pPr>
        <w:pStyle w:val="NoSpacing"/>
        <w:spacing w:line="360" w:lineRule="auto"/>
        <w:ind w:right="-1" w:firstLine="284"/>
        <w:jc w:val="both"/>
        <w:rPr>
          <w:rStyle w:val="apple-style-span"/>
          <w:rFonts w:ascii="Times New Roman" w:hAnsi="Times New Roman" w:cs="Times New Roman"/>
          <w:b/>
          <w:sz w:val="28"/>
          <w:szCs w:val="28"/>
          <w:shd w:val="clear" w:color="auto" w:fill="FFFFFF"/>
        </w:rPr>
      </w:pPr>
      <w:r w:rsidRPr="00651A12">
        <w:rPr>
          <w:rFonts w:ascii="Times New Roman" w:hAnsi="Times New Roman" w:cs="Times New Roman"/>
          <w:b/>
          <w:bCs/>
          <w:sz w:val="28"/>
          <w:szCs w:val="28"/>
          <w:shd w:val="clear" w:color="auto" w:fill="FFFFFF"/>
        </w:rPr>
        <w:t xml:space="preserve">3.2. </w:t>
      </w:r>
      <w:r w:rsidR="00B40749" w:rsidRPr="00651A12">
        <w:rPr>
          <w:rStyle w:val="apple-style-span"/>
          <w:rFonts w:ascii="Times New Roman" w:hAnsi="Times New Roman" w:cs="Times New Roman"/>
          <w:b/>
          <w:sz w:val="28"/>
          <w:szCs w:val="28"/>
          <w:shd w:val="clear" w:color="auto" w:fill="FFFFFF"/>
        </w:rPr>
        <w:t>Обзор стратегических целей экспансии иностранных банков</w:t>
      </w:r>
      <w:r w:rsidR="00B40749" w:rsidRPr="00651A12">
        <w:rPr>
          <w:rFonts w:ascii="Times New Roman" w:hAnsi="Times New Roman" w:cs="Times New Roman"/>
          <w:b/>
          <w:bCs/>
          <w:sz w:val="28"/>
          <w:szCs w:val="28"/>
          <w:shd w:val="clear" w:color="auto" w:fill="FFFFFF"/>
        </w:rPr>
        <w:t xml:space="preserve"> </w:t>
      </w:r>
    </w:p>
    <w:p w14:paraId="0C108116" w14:textId="2CECF846" w:rsidR="00661461" w:rsidRPr="00651A12" w:rsidRDefault="00465B64"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Как мы уже отметили, период с 2003 по 2004 гг. стал главным толчком к развитию российской экономики и созданию многообразия банковских холдингов с помощью процессов слияний и поглощений в России. В то время быстро рос и улучшался деловой и инвестиционный климат в стране, что сопровождалось постепенной экспансией иностранных банков на российский рынок. При этом все еще существовало множество препятствий, которые сохранились еще с периода развития данного сектора в России.</w:t>
      </w:r>
      <w:r w:rsidR="00AE076B" w:rsidRPr="00651A12">
        <w:rPr>
          <w:rStyle w:val="apple-style-span"/>
          <w:rFonts w:ascii="Times New Roman" w:hAnsi="Times New Roman" w:cs="Times New Roman"/>
          <w:sz w:val="28"/>
          <w:szCs w:val="28"/>
          <w:shd w:val="clear" w:color="auto" w:fill="FFFFFF"/>
        </w:rPr>
        <w:t xml:space="preserve"> </w:t>
      </w:r>
      <w:r w:rsidR="00C55353" w:rsidRPr="00651A12">
        <w:rPr>
          <w:rStyle w:val="FootnoteReference"/>
          <w:rFonts w:ascii="Times New Roman" w:hAnsi="Times New Roman" w:cs="Times New Roman"/>
          <w:sz w:val="28"/>
          <w:szCs w:val="28"/>
          <w:shd w:val="clear" w:color="auto" w:fill="FFFFFF"/>
        </w:rPr>
        <w:footnoteReference w:id="53"/>
      </w:r>
    </w:p>
    <w:p w14:paraId="7AD065C5" w14:textId="4256F27A" w:rsidR="00AE076B" w:rsidRPr="00651A12" w:rsidRDefault="00D0463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С</w:t>
      </w:r>
      <w:r w:rsidR="00AE076B" w:rsidRPr="00651A12">
        <w:rPr>
          <w:rStyle w:val="apple-style-span"/>
          <w:rFonts w:ascii="Times New Roman" w:hAnsi="Times New Roman" w:cs="Times New Roman"/>
          <w:sz w:val="28"/>
          <w:szCs w:val="28"/>
          <w:shd w:val="clear" w:color="auto" w:fill="FFFFFF"/>
        </w:rPr>
        <w:t>ильное влияние на экспансию иностранных банков оказали высокие экономические и финансовые риски, которые были связаны с тем, что российская финансовая система тогда еще не совсем окрепла, и любая иностранная интеграция сопровождалась высокими административ</w:t>
      </w:r>
      <w:r w:rsidR="00046297" w:rsidRPr="00651A12">
        <w:rPr>
          <w:rStyle w:val="apple-style-span"/>
          <w:rFonts w:ascii="Times New Roman" w:hAnsi="Times New Roman" w:cs="Times New Roman"/>
          <w:sz w:val="28"/>
          <w:szCs w:val="28"/>
          <w:shd w:val="clear" w:color="auto" w:fill="FFFFFF"/>
        </w:rPr>
        <w:t>ными барьерами. При этом многие российские банкиры зачастую переоценивали свой бизнес, что создавало еще больше сложностей для доступа на российский рынок.</w:t>
      </w:r>
      <w:r w:rsidR="00AE076B" w:rsidRPr="00651A12">
        <w:rPr>
          <w:rStyle w:val="apple-style-span"/>
          <w:rFonts w:ascii="Times New Roman" w:hAnsi="Times New Roman" w:cs="Times New Roman"/>
          <w:sz w:val="28"/>
          <w:szCs w:val="28"/>
          <w:shd w:val="clear" w:color="auto" w:fill="FFFFFF"/>
        </w:rPr>
        <w:t xml:space="preserve"> Серьезным препятствием было также отсутствие достаточной прозрачности и ясности банковского сектора России, что сопровождалось слабым законодательным регулированием слияний и поглощений банков и всего сектора в целом.</w:t>
      </w:r>
      <w:r w:rsidR="00046297" w:rsidRPr="00651A12">
        <w:rPr>
          <w:rStyle w:val="apple-style-span"/>
          <w:rFonts w:ascii="Times New Roman" w:hAnsi="Times New Roman" w:cs="Times New Roman"/>
          <w:sz w:val="28"/>
          <w:szCs w:val="28"/>
          <w:shd w:val="clear" w:color="auto" w:fill="FFFFFF"/>
        </w:rPr>
        <w:t xml:space="preserve"> При этом был</w:t>
      </w:r>
      <w:r w:rsidRPr="00651A12">
        <w:rPr>
          <w:rStyle w:val="apple-style-span"/>
          <w:rFonts w:ascii="Times New Roman" w:hAnsi="Times New Roman" w:cs="Times New Roman"/>
          <w:sz w:val="28"/>
          <w:szCs w:val="28"/>
          <w:shd w:val="clear" w:color="auto" w:fill="FFFFFF"/>
        </w:rPr>
        <w:t>о</w:t>
      </w:r>
      <w:r w:rsidR="00046297" w:rsidRPr="00651A12">
        <w:rPr>
          <w:rStyle w:val="apple-style-span"/>
          <w:rFonts w:ascii="Times New Roman" w:hAnsi="Times New Roman" w:cs="Times New Roman"/>
          <w:sz w:val="28"/>
          <w:szCs w:val="28"/>
          <w:shd w:val="clear" w:color="auto" w:fill="FFFFFF"/>
        </w:rPr>
        <w:t xml:space="preserve"> достаточно</w:t>
      </w:r>
      <w:r w:rsidRPr="00651A12">
        <w:rPr>
          <w:rStyle w:val="apple-style-span"/>
          <w:rFonts w:ascii="Times New Roman" w:hAnsi="Times New Roman" w:cs="Times New Roman"/>
          <w:sz w:val="28"/>
          <w:szCs w:val="28"/>
          <w:shd w:val="clear" w:color="auto" w:fill="FFFFFF"/>
        </w:rPr>
        <w:t xml:space="preserve"> много</w:t>
      </w:r>
      <w:r w:rsidR="00046297" w:rsidRPr="00651A12">
        <w:rPr>
          <w:rStyle w:val="apple-style-span"/>
          <w:rFonts w:ascii="Times New Roman" w:hAnsi="Times New Roman" w:cs="Times New Roman"/>
          <w:sz w:val="28"/>
          <w:szCs w:val="28"/>
          <w:shd w:val="clear" w:color="auto" w:fill="FFFFFF"/>
        </w:rPr>
        <w:t xml:space="preserve"> проблем с разрешением Банка России и Правительства РФ открывать филиалы иностранных банков на территории России, что во многом было связано с отсутствием членства России в ВТО.</w:t>
      </w:r>
      <w:r w:rsidR="000B3CD0" w:rsidRPr="00651A12">
        <w:rPr>
          <w:rStyle w:val="apple-style-span"/>
          <w:rFonts w:ascii="Times New Roman" w:hAnsi="Times New Roman" w:cs="Times New Roman"/>
          <w:sz w:val="28"/>
          <w:szCs w:val="28"/>
          <w:shd w:val="clear" w:color="auto" w:fill="FFFFFF"/>
        </w:rPr>
        <w:t xml:space="preserve"> И хотя с многими проблемами на современном этапе уже удалось справиться, часть из них все-таки является достаточно серьезными препятствиями для доступа иностранных банков на наш внутренний рынок.</w:t>
      </w:r>
    </w:p>
    <w:p w14:paraId="0CFC5906" w14:textId="02989E08" w:rsidR="00465B64" w:rsidRPr="00651A12" w:rsidRDefault="000B3CD0"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Стоит отметить, что пути проникновения на банковский рынок изменились с 2003-2004 гг. Вместо того, чтобы только открывать дочерние банки на территории России, как это делалось раньше, теперь иностранные банки стремятся к более простым методам, а именно к приобретению или поглощению действующих российских банков. Именно период</w:t>
      </w:r>
      <w:r w:rsidR="00602B41" w:rsidRPr="00651A12">
        <w:rPr>
          <w:rStyle w:val="apple-style-span"/>
          <w:rFonts w:ascii="Times New Roman" w:hAnsi="Times New Roman" w:cs="Times New Roman"/>
          <w:sz w:val="28"/>
          <w:szCs w:val="28"/>
          <w:shd w:val="clear" w:color="auto" w:fill="FFFFFF"/>
        </w:rPr>
        <w:t xml:space="preserve"> с 2003 по 2004 гг.</w:t>
      </w:r>
      <w:r w:rsidRPr="00651A12">
        <w:rPr>
          <w:rStyle w:val="apple-style-span"/>
          <w:rFonts w:ascii="Times New Roman" w:hAnsi="Times New Roman" w:cs="Times New Roman"/>
          <w:sz w:val="28"/>
          <w:szCs w:val="28"/>
          <w:shd w:val="clear" w:color="auto" w:fill="FFFFFF"/>
        </w:rPr>
        <w:t xml:space="preserve"> стал решающим в определении особенностей политики иностранных игроков в российском банковском секторе, в результате чего выработались </w:t>
      </w:r>
      <w:r w:rsidR="00602B41" w:rsidRPr="00651A12">
        <w:rPr>
          <w:rStyle w:val="apple-style-span"/>
          <w:rFonts w:ascii="Times New Roman" w:hAnsi="Times New Roman" w:cs="Times New Roman"/>
          <w:sz w:val="28"/>
          <w:szCs w:val="28"/>
          <w:shd w:val="clear" w:color="auto" w:fill="FFFFFF"/>
        </w:rPr>
        <w:t>общие особенности сделок слияний и поглощений российских банков.</w:t>
      </w:r>
      <w:r w:rsidR="00D04632" w:rsidRPr="00651A12">
        <w:rPr>
          <w:rStyle w:val="apple-style-span"/>
          <w:rFonts w:ascii="Times New Roman" w:hAnsi="Times New Roman" w:cs="Times New Roman"/>
          <w:sz w:val="28"/>
          <w:szCs w:val="28"/>
          <w:shd w:val="clear" w:color="auto" w:fill="FFFFFF"/>
        </w:rPr>
        <w:t xml:space="preserve"> Ими являлись:</w:t>
      </w:r>
      <w:r w:rsidR="00AA16B8" w:rsidRPr="00651A12">
        <w:rPr>
          <w:rStyle w:val="FootnoteReference"/>
          <w:rFonts w:ascii="Times New Roman" w:hAnsi="Times New Roman" w:cs="Times New Roman"/>
          <w:sz w:val="28"/>
          <w:szCs w:val="28"/>
          <w:shd w:val="clear" w:color="auto" w:fill="FFFFFF"/>
        </w:rPr>
        <w:footnoteReference w:id="54"/>
      </w:r>
    </w:p>
    <w:p w14:paraId="0C79B781" w14:textId="2D732DB7" w:rsidR="00D04632" w:rsidRPr="00651A12" w:rsidRDefault="00D04632" w:rsidP="006828FC">
      <w:pPr>
        <w:pStyle w:val="NoSpacing"/>
        <w:numPr>
          <w:ilvl w:val="0"/>
          <w:numId w:val="6"/>
        </w:numPr>
        <w:spacing w:line="360" w:lineRule="auto"/>
        <w:ind w:left="0"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высокий уровень кон</w:t>
      </w:r>
      <w:r w:rsidR="00EB41FF" w:rsidRPr="00651A12">
        <w:rPr>
          <w:rStyle w:val="apple-style-span"/>
          <w:rFonts w:ascii="Times New Roman" w:hAnsi="Times New Roman" w:cs="Times New Roman"/>
          <w:sz w:val="28"/>
          <w:szCs w:val="28"/>
          <w:shd w:val="clear" w:color="auto" w:fill="FFFFFF"/>
        </w:rPr>
        <w:t>куренции за небольшим количеством банков, которые являлись наиболее привлекательными;</w:t>
      </w:r>
    </w:p>
    <w:p w14:paraId="3EAF4202" w14:textId="36AD9B20" w:rsidR="00EB41FF" w:rsidRPr="00651A12" w:rsidRDefault="00EB41FF" w:rsidP="006828FC">
      <w:pPr>
        <w:pStyle w:val="NoSpacing"/>
        <w:numPr>
          <w:ilvl w:val="0"/>
          <w:numId w:val="6"/>
        </w:numPr>
        <w:spacing w:line="360" w:lineRule="auto"/>
        <w:ind w:left="0"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рост интереса к банкам, которые уже являлись собственностью мелкого иностранного капитала в связи с повышенным уровнем доверия к таким банкам и более высокой прозрачностью данного рынка;</w:t>
      </w:r>
    </w:p>
    <w:p w14:paraId="7D1F600C" w14:textId="3D24E5B4" w:rsidR="00EB41FF" w:rsidRPr="00651A12" w:rsidRDefault="00EB41FF" w:rsidP="006828FC">
      <w:pPr>
        <w:pStyle w:val="NoSpacing"/>
        <w:numPr>
          <w:ilvl w:val="0"/>
          <w:numId w:val="6"/>
        </w:numPr>
        <w:spacing w:line="360" w:lineRule="auto"/>
        <w:ind w:left="0"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повышение востребованности к средним банкам, в связи с их сильными позициями в определенных сегментах банковского рынка, особенно на рынке розничных услуг и инвестиций.</w:t>
      </w:r>
    </w:p>
    <w:p w14:paraId="17DAC4E9" w14:textId="4A581F86" w:rsidR="00396E84" w:rsidRPr="00651A12" w:rsidRDefault="00C00AB9"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Характерной чертой российского банковского сектора является широко-известная слабость государственного контроля над процессам</w:t>
      </w:r>
      <w:r w:rsidR="006565D5" w:rsidRPr="00651A12">
        <w:rPr>
          <w:rStyle w:val="apple-style-span"/>
          <w:rFonts w:ascii="Times New Roman" w:hAnsi="Times New Roman" w:cs="Times New Roman"/>
          <w:sz w:val="28"/>
          <w:szCs w:val="28"/>
          <w:shd w:val="clear" w:color="auto" w:fill="FFFFFF"/>
        </w:rPr>
        <w:t>и слияний и поглощений, низкий уровень использования финансовых инструментов во время данных процессов, а также нечеткая структура банковской собственности и сильная концентрация больших долей собственности в одних руках по сравнению с западными банками.</w:t>
      </w:r>
    </w:p>
    <w:p w14:paraId="57EA13AB" w14:textId="49165468" w:rsidR="006565D5" w:rsidRPr="00651A12" w:rsidRDefault="006565D5"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Данные особенности в совокупности с активным использованием различных </w:t>
      </w:r>
      <w:r w:rsidR="004829CE" w:rsidRPr="00651A12">
        <w:rPr>
          <w:rStyle w:val="apple-style-span"/>
          <w:rFonts w:ascii="Times New Roman" w:hAnsi="Times New Roman" w:cs="Times New Roman"/>
          <w:sz w:val="28"/>
          <w:szCs w:val="28"/>
          <w:shd w:val="clear" w:color="auto" w:fill="FFFFFF"/>
        </w:rPr>
        <w:t>административных ресурсов и методик теневого рынка во время процессов слияний и поглощений делают их транзакциями с высокой степенью риска.</w:t>
      </w:r>
      <w:r w:rsidR="00184A80" w:rsidRPr="00651A12">
        <w:rPr>
          <w:rStyle w:val="apple-style-span"/>
          <w:rFonts w:ascii="Times New Roman" w:hAnsi="Times New Roman" w:cs="Times New Roman"/>
          <w:sz w:val="28"/>
          <w:szCs w:val="28"/>
          <w:shd w:val="clear" w:color="auto" w:fill="FFFFFF"/>
        </w:rPr>
        <w:t xml:space="preserve"> Подтверждению этому стал последний финансовый кризис, когда объем сделок по слияниям и поглощениям в России упал с 128 млрд. долл. в 2007 году до 49,5 млрд. долл. в 2010 году.</w:t>
      </w:r>
    </w:p>
    <w:p w14:paraId="743E7DBA" w14:textId="7F85F75D" w:rsidR="00AF353F" w:rsidRPr="00651A12" w:rsidRDefault="00AF353F"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 xml:space="preserve">Текущий этап слияний и поглощений банков в России с </w:t>
      </w:r>
      <w:r w:rsidR="008631B6" w:rsidRPr="00651A12">
        <w:rPr>
          <w:rStyle w:val="apple-style-span"/>
          <w:rFonts w:ascii="Times New Roman" w:hAnsi="Times New Roman" w:cs="Times New Roman"/>
          <w:sz w:val="28"/>
          <w:szCs w:val="28"/>
          <w:shd w:val="clear" w:color="auto" w:fill="FFFFFF"/>
        </w:rPr>
        <w:t>привлечением</w:t>
      </w:r>
      <w:r w:rsidRPr="00651A12">
        <w:rPr>
          <w:rStyle w:val="apple-style-span"/>
          <w:rFonts w:ascii="Times New Roman" w:hAnsi="Times New Roman" w:cs="Times New Roman"/>
          <w:sz w:val="28"/>
          <w:szCs w:val="28"/>
          <w:shd w:val="clear" w:color="auto" w:fill="FFFFFF"/>
        </w:rPr>
        <w:t xml:space="preserve"> иностранного капитала имеет характерную черту резкого роста таких транзакций, связанную при этом не только с количественным, но и с ценовым эффектом. Конечно, ключевыми игроками на российском рынке слияний и поглощений являются иностранные банки.</w:t>
      </w:r>
    </w:p>
    <w:p w14:paraId="3514BEA4" w14:textId="7B9CF9FA" w:rsidR="00AF353F" w:rsidRPr="00651A12" w:rsidRDefault="00AF353F"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Другой заметной особенностью подобных сделок на банковском рынке является серьезное увеличение собственности средних и мелких банков. Также они имеют позитивное влияние на весь банковский сектор в целом</w:t>
      </w:r>
      <w:r w:rsidR="00481103" w:rsidRPr="00651A12">
        <w:rPr>
          <w:rStyle w:val="apple-style-span"/>
          <w:rFonts w:ascii="Times New Roman" w:hAnsi="Times New Roman" w:cs="Times New Roman"/>
          <w:sz w:val="28"/>
          <w:szCs w:val="28"/>
          <w:shd w:val="clear" w:color="auto" w:fill="FFFFFF"/>
        </w:rPr>
        <w:t xml:space="preserve">, так как они увеличивают его общую капитализацию. Хотя все эти плюсы достигаются одновременно с повышением </w:t>
      </w:r>
      <w:r w:rsidR="009455B2" w:rsidRPr="00651A12">
        <w:rPr>
          <w:rStyle w:val="apple-style-span"/>
          <w:rFonts w:ascii="Times New Roman" w:hAnsi="Times New Roman" w:cs="Times New Roman"/>
          <w:sz w:val="28"/>
          <w:szCs w:val="28"/>
          <w:shd w:val="clear" w:color="auto" w:fill="FFFFFF"/>
        </w:rPr>
        <w:t>влияния</w:t>
      </w:r>
      <w:r w:rsidR="00481103" w:rsidRPr="00651A12">
        <w:rPr>
          <w:rStyle w:val="apple-style-span"/>
          <w:rFonts w:ascii="Times New Roman" w:hAnsi="Times New Roman" w:cs="Times New Roman"/>
          <w:sz w:val="28"/>
          <w:szCs w:val="28"/>
          <w:shd w:val="clear" w:color="auto" w:fill="FFFFFF"/>
        </w:rPr>
        <w:t xml:space="preserve"> иностранного капитала.</w:t>
      </w:r>
      <w:r w:rsidR="00901955" w:rsidRPr="00651A12">
        <w:rPr>
          <w:rStyle w:val="FootnoteReference"/>
          <w:rFonts w:ascii="Times New Roman" w:hAnsi="Times New Roman" w:cs="Times New Roman"/>
          <w:sz w:val="28"/>
          <w:szCs w:val="28"/>
          <w:shd w:val="clear" w:color="auto" w:fill="FFFFFF"/>
        </w:rPr>
        <w:footnoteReference w:id="55"/>
      </w:r>
    </w:p>
    <w:p w14:paraId="24193DE0" w14:textId="0ABE1033" w:rsidR="00792358" w:rsidRPr="00651A12" w:rsidRDefault="009455B2"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Банковские слияния и поглощения могут привести к повышению эффективности в связи с экономии от масштаба, когда у банков появляется возможность пред</w:t>
      </w:r>
      <w:r w:rsidR="006B29D3" w:rsidRPr="00651A12">
        <w:rPr>
          <w:rStyle w:val="apple-style-span"/>
          <w:rFonts w:ascii="Times New Roman" w:hAnsi="Times New Roman" w:cs="Times New Roman"/>
          <w:sz w:val="28"/>
          <w:szCs w:val="28"/>
          <w:shd w:val="clear" w:color="auto" w:fill="FFFFFF"/>
        </w:rPr>
        <w:t>лагать больше продуктов и услуг. Более того большим плюсом приобретения новых активов является упрощение процесса диверсификации путем расширения клиентской базы банка</w:t>
      </w:r>
      <w:r w:rsidRPr="00651A12">
        <w:rPr>
          <w:rStyle w:val="apple-style-span"/>
          <w:rFonts w:ascii="Times New Roman" w:hAnsi="Times New Roman" w:cs="Times New Roman"/>
          <w:sz w:val="28"/>
          <w:szCs w:val="28"/>
          <w:shd w:val="clear" w:color="auto" w:fill="FFFFFF"/>
        </w:rPr>
        <w:t>.</w:t>
      </w:r>
      <w:r w:rsidR="002A1FA8" w:rsidRPr="00651A12">
        <w:rPr>
          <w:rStyle w:val="FootnoteReference"/>
          <w:rFonts w:ascii="Times New Roman" w:hAnsi="Times New Roman" w:cs="Times New Roman"/>
          <w:sz w:val="28"/>
          <w:szCs w:val="28"/>
          <w:shd w:val="clear" w:color="auto" w:fill="FFFFFF"/>
        </w:rPr>
        <w:footnoteReference w:id="56"/>
      </w:r>
    </w:p>
    <w:p w14:paraId="0588F01B" w14:textId="77777777" w:rsidR="002A1D4D" w:rsidRPr="00651A12" w:rsidRDefault="002A1D4D"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32BDA570" w14:textId="241B1D5F" w:rsidR="003563A3" w:rsidRPr="00651A12" w:rsidRDefault="00B40749" w:rsidP="006828FC">
      <w:pPr>
        <w:pStyle w:val="NoSpacing"/>
        <w:spacing w:line="360" w:lineRule="auto"/>
        <w:ind w:right="-1" w:firstLine="284"/>
        <w:jc w:val="both"/>
        <w:rPr>
          <w:rFonts w:ascii="Times New Roman" w:hAnsi="Times New Roman" w:cs="Times New Roman"/>
          <w:b/>
          <w:bCs/>
          <w:sz w:val="28"/>
          <w:szCs w:val="28"/>
          <w:shd w:val="clear" w:color="auto" w:fill="FFFFFF"/>
        </w:rPr>
      </w:pPr>
      <w:r w:rsidRPr="00651A12">
        <w:rPr>
          <w:rFonts w:ascii="Times New Roman" w:hAnsi="Times New Roman" w:cs="Times New Roman"/>
          <w:b/>
          <w:bCs/>
          <w:sz w:val="28"/>
          <w:szCs w:val="28"/>
          <w:shd w:val="clear" w:color="auto" w:fill="FFFFFF"/>
        </w:rPr>
        <w:t>3.3. Особенности процесса входа иностранных банков на российский финансовый рынок</w:t>
      </w:r>
    </w:p>
    <w:p w14:paraId="1D285A28" w14:textId="77777777" w:rsidR="00F752FB" w:rsidRPr="00651A12" w:rsidRDefault="00F752FB"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Для выявления всех особенностей иностранной экспансии, необходимо рассмотреть конкретный пример, чтобы затем сопоставить заявленные стратегии банка до экспансии с тем, что он получил после такой сделки и на сколько это соответствовало его стратегии. </w:t>
      </w:r>
    </w:p>
    <w:p w14:paraId="7221EBF7" w14:textId="20644D71" w:rsidR="008A21C8" w:rsidRPr="00651A12" w:rsidRDefault="00B40749"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Иностранные банки заинтересованы в поглощениях российских банков для выхода на новые рынки, так как этот способ является наименее затратным, чтобы обосноваться в новых и незнакомых рыночных условиях. Примером этому служит сделка </w:t>
      </w:r>
      <w:r w:rsidR="00A87FF9" w:rsidRPr="00651A12">
        <w:rPr>
          <w:rStyle w:val="apple-style-span"/>
          <w:rFonts w:cs="Times New Roman"/>
          <w:szCs w:val="28"/>
          <w:shd w:val="clear" w:color="auto" w:fill="FFFFFF"/>
        </w:rPr>
        <w:t>«</w:t>
      </w:r>
      <w:r w:rsidRPr="00651A12">
        <w:rPr>
          <w:rStyle w:val="apple-style-span"/>
          <w:rFonts w:cs="Times New Roman"/>
          <w:szCs w:val="28"/>
          <w:shd w:val="clear" w:color="auto" w:fill="FFFFFF"/>
        </w:rPr>
        <w:t>Raiffeisen International Bank-Holding</w:t>
      </w:r>
      <w:r w:rsidR="00A87FF9" w:rsidRPr="00651A12">
        <w:rPr>
          <w:rStyle w:val="apple-style-span"/>
          <w:rFonts w:cs="Times New Roman"/>
          <w:szCs w:val="28"/>
          <w:shd w:val="clear" w:color="auto" w:fill="FFFFFF"/>
        </w:rPr>
        <w:t>»</w:t>
      </w:r>
      <w:r w:rsidRPr="00651A12">
        <w:rPr>
          <w:rStyle w:val="apple-style-span"/>
          <w:rFonts w:cs="Times New Roman"/>
          <w:szCs w:val="28"/>
          <w:shd w:val="clear" w:color="auto" w:fill="FFFFFF"/>
        </w:rPr>
        <w:t xml:space="preserve"> по приобретению ОАО «Импэксбанк» в 2007 году, которая стала </w:t>
      </w:r>
      <w:r w:rsidR="008A21C8" w:rsidRPr="00651A12">
        <w:rPr>
          <w:rStyle w:val="apple-style-span"/>
          <w:rFonts w:cs="Times New Roman"/>
          <w:szCs w:val="28"/>
          <w:shd w:val="clear" w:color="auto" w:fill="FFFFFF"/>
        </w:rPr>
        <w:t>серьезным</w:t>
      </w:r>
      <w:r w:rsidRPr="00651A12">
        <w:rPr>
          <w:rStyle w:val="apple-style-span"/>
          <w:rFonts w:cs="Times New Roman"/>
          <w:szCs w:val="28"/>
          <w:shd w:val="clear" w:color="auto" w:fill="FFFFFF"/>
        </w:rPr>
        <w:t xml:space="preserve"> толчком к развитию данного банка в России. </w:t>
      </w:r>
    </w:p>
    <w:p w14:paraId="3DE66E1B" w14:textId="400E1EAB" w:rsidR="003C2B13" w:rsidRPr="00651A12" w:rsidRDefault="008A21C8"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После более десяти лет успешной работы на территории России, Райффайзенбанк решил радикально изменить стратегию своего развития, которая изначально предусматривала только самостоятельную экспансию. В связи с быстрым ростом банковского рынка в России с 2004 по 2005 год, единственным верным решением сохранения доли на нем было содействие ускоренном развитию филиальной сети.</w:t>
      </w:r>
      <w:r w:rsidR="00C55353" w:rsidRPr="00651A12">
        <w:rPr>
          <w:rStyle w:val="FootnoteReference"/>
          <w:rFonts w:cs="Times New Roman"/>
          <w:szCs w:val="28"/>
          <w:shd w:val="clear" w:color="auto" w:fill="FFFFFF"/>
        </w:rPr>
        <w:footnoteReference w:id="57"/>
      </w:r>
      <w:r w:rsidR="00AC53B1" w:rsidRPr="00651A12">
        <w:rPr>
          <w:rStyle w:val="apple-style-span"/>
          <w:rFonts w:cs="Times New Roman"/>
          <w:szCs w:val="28"/>
          <w:shd w:val="clear" w:color="auto" w:fill="FFFFFF"/>
        </w:rPr>
        <w:t xml:space="preserve"> </w:t>
      </w:r>
      <w:r w:rsidR="00B917FA" w:rsidRPr="00651A12">
        <w:rPr>
          <w:rStyle w:val="apple-style-span"/>
          <w:rFonts w:cs="Times New Roman"/>
          <w:szCs w:val="28"/>
          <w:shd w:val="clear" w:color="auto" w:fill="FFFFFF"/>
        </w:rPr>
        <w:t xml:space="preserve">В январе 2006 года </w:t>
      </w:r>
      <w:r w:rsidR="00A87FF9" w:rsidRPr="00651A12">
        <w:rPr>
          <w:rStyle w:val="apple-style-span"/>
          <w:rFonts w:cs="Times New Roman"/>
          <w:szCs w:val="28"/>
          <w:shd w:val="clear" w:color="auto" w:fill="FFFFFF"/>
        </w:rPr>
        <w:t>«</w:t>
      </w:r>
      <w:r w:rsidR="00B917FA" w:rsidRPr="00651A12">
        <w:rPr>
          <w:rStyle w:val="apple-style-span"/>
          <w:rFonts w:cs="Times New Roman"/>
          <w:szCs w:val="28"/>
          <w:shd w:val="clear" w:color="auto" w:fill="FFFFFF"/>
        </w:rPr>
        <w:t>Raiffeisen International Bank-Holding AG</w:t>
      </w:r>
      <w:r w:rsidR="00A87FF9" w:rsidRPr="00651A12">
        <w:rPr>
          <w:rStyle w:val="apple-style-span"/>
          <w:rFonts w:cs="Times New Roman"/>
          <w:szCs w:val="28"/>
          <w:shd w:val="clear" w:color="auto" w:fill="FFFFFF"/>
        </w:rPr>
        <w:t>»</w:t>
      </w:r>
      <w:r w:rsidR="008845E3" w:rsidRPr="00651A12">
        <w:rPr>
          <w:rStyle w:val="apple-style-span"/>
          <w:rFonts w:cs="Times New Roman"/>
          <w:szCs w:val="28"/>
          <w:shd w:val="clear" w:color="auto" w:fill="FFFFFF"/>
        </w:rPr>
        <w:t xml:space="preserve"> («RIBH»</w:t>
      </w:r>
      <w:r w:rsidR="00B917FA" w:rsidRPr="00651A12">
        <w:rPr>
          <w:rStyle w:val="apple-style-span"/>
          <w:rFonts w:cs="Times New Roman"/>
          <w:szCs w:val="28"/>
          <w:shd w:val="clear" w:color="auto" w:fill="FFFFFF"/>
        </w:rPr>
        <w:t xml:space="preserve">) подписал соглашение о покупке 100% акций ОАО «Импэксбанк». </w:t>
      </w:r>
      <w:r w:rsidR="008845E3" w:rsidRPr="00651A12">
        <w:rPr>
          <w:rStyle w:val="apple-style-span"/>
          <w:rFonts w:cs="Times New Roman"/>
          <w:szCs w:val="28"/>
          <w:shd w:val="clear" w:color="auto" w:fill="FFFFFF"/>
        </w:rPr>
        <w:t xml:space="preserve">Данную операцию одобрил Центральный банк России, а также другие соответствующие органы власти </w:t>
      </w:r>
      <w:r w:rsidR="00B917FA" w:rsidRPr="00651A12">
        <w:rPr>
          <w:rStyle w:val="apple-style-span"/>
          <w:rFonts w:cs="Times New Roman"/>
          <w:szCs w:val="28"/>
          <w:shd w:val="clear" w:color="auto" w:fill="FFFFFF"/>
        </w:rPr>
        <w:t xml:space="preserve">России и Австрии. В результате 1 мая 2006 года контроль за ОАО «Импэксбанк» перешел к </w:t>
      </w:r>
      <w:r w:rsidR="008845E3" w:rsidRPr="00651A12">
        <w:rPr>
          <w:rStyle w:val="apple-style-span"/>
          <w:rFonts w:cs="Times New Roman"/>
          <w:szCs w:val="28"/>
          <w:shd w:val="clear" w:color="auto" w:fill="FFFFFF"/>
        </w:rPr>
        <w:t>«RIBH»</w:t>
      </w:r>
      <w:r w:rsidR="00B917FA" w:rsidRPr="00651A12">
        <w:rPr>
          <w:rStyle w:val="apple-style-span"/>
          <w:rFonts w:cs="Times New Roman"/>
          <w:szCs w:val="28"/>
          <w:shd w:val="clear" w:color="auto" w:fill="FFFFFF"/>
        </w:rPr>
        <w:t xml:space="preserve">. </w:t>
      </w:r>
      <w:r w:rsidR="00AC53B1" w:rsidRPr="00651A12">
        <w:rPr>
          <w:rStyle w:val="FootnoteReference"/>
          <w:rFonts w:cs="Times New Roman"/>
          <w:szCs w:val="28"/>
          <w:shd w:val="clear" w:color="auto" w:fill="FFFFFF"/>
        </w:rPr>
        <w:footnoteReference w:id="58"/>
      </w:r>
      <w:r w:rsidR="00DB09C4" w:rsidRPr="00651A12">
        <w:rPr>
          <w:rStyle w:val="apple-style-span"/>
          <w:rFonts w:cs="Times New Roman"/>
          <w:szCs w:val="28"/>
          <w:shd w:val="clear" w:color="auto" w:fill="FFFFFF"/>
        </w:rPr>
        <w:t xml:space="preserve">При этом сумма сделки составила 550 млн. долл. </w:t>
      </w:r>
      <w:r w:rsidR="008845E3" w:rsidRPr="00651A12">
        <w:rPr>
          <w:rStyle w:val="apple-style-span"/>
          <w:rFonts w:cs="Times New Roman"/>
          <w:szCs w:val="28"/>
          <w:shd w:val="clear" w:color="auto" w:fill="FFFFFF"/>
        </w:rPr>
        <w:t xml:space="preserve">Позднее </w:t>
      </w:r>
      <w:r w:rsidR="00DB09C4" w:rsidRPr="00651A12">
        <w:rPr>
          <w:rStyle w:val="apple-style-span"/>
          <w:rFonts w:cs="Times New Roman"/>
          <w:szCs w:val="28"/>
          <w:shd w:val="clear" w:color="auto" w:fill="FFFFFF"/>
        </w:rPr>
        <w:t xml:space="preserve">состоялось юридическое объединение ЗАО «Райффайзенбанк Австрия» и ОАО «ИМПЭКСБАНК». 23 ноября 2007 года была внесена запись об </w:t>
      </w:r>
      <w:r w:rsidR="00077AED" w:rsidRPr="00651A12">
        <w:rPr>
          <w:rStyle w:val="apple-style-span"/>
          <w:rFonts w:cs="Times New Roman"/>
          <w:szCs w:val="28"/>
          <w:shd w:val="clear" w:color="auto" w:fill="FFFFFF"/>
        </w:rPr>
        <w:t>изменении наименования Банка в е</w:t>
      </w:r>
      <w:r w:rsidR="00DB09C4" w:rsidRPr="00651A12">
        <w:rPr>
          <w:rStyle w:val="apple-style-span"/>
          <w:rFonts w:cs="Times New Roman"/>
          <w:szCs w:val="28"/>
          <w:shd w:val="clear" w:color="auto" w:fill="FFFFFF"/>
        </w:rPr>
        <w:t xml:space="preserve">диный государственный реестр юридических лиц. В истории </w:t>
      </w:r>
      <w:r w:rsidR="00077AED" w:rsidRPr="00651A12">
        <w:rPr>
          <w:rStyle w:val="apple-style-span"/>
          <w:rFonts w:cs="Times New Roman"/>
          <w:szCs w:val="28"/>
          <w:shd w:val="clear" w:color="auto" w:fill="FFFFFF"/>
        </w:rPr>
        <w:t>«</w:t>
      </w:r>
      <w:r w:rsidR="00DB09C4" w:rsidRPr="00651A12">
        <w:rPr>
          <w:rStyle w:val="apple-style-span"/>
          <w:rFonts w:cs="Times New Roman"/>
          <w:szCs w:val="28"/>
          <w:shd w:val="clear" w:color="auto" w:fill="FFFFFF"/>
        </w:rPr>
        <w:t>Райффайзенбанка</w:t>
      </w:r>
      <w:r w:rsidR="00077AED" w:rsidRPr="00651A12">
        <w:rPr>
          <w:rStyle w:val="apple-style-span"/>
          <w:rFonts w:cs="Times New Roman"/>
          <w:szCs w:val="28"/>
          <w:shd w:val="clear" w:color="auto" w:fill="FFFFFF"/>
        </w:rPr>
        <w:t>»</w:t>
      </w:r>
      <w:r w:rsidR="00DB09C4" w:rsidRPr="00651A12">
        <w:rPr>
          <w:rStyle w:val="apple-style-span"/>
          <w:rFonts w:cs="Times New Roman"/>
          <w:szCs w:val="28"/>
          <w:shd w:val="clear" w:color="auto" w:fill="FFFFFF"/>
        </w:rPr>
        <w:t xml:space="preserve"> много важных дат, но объединение является самым главным событием с момента появления дочернего банка </w:t>
      </w:r>
      <w:r w:rsidR="008845E3" w:rsidRPr="00651A12">
        <w:rPr>
          <w:rStyle w:val="apple-style-span"/>
          <w:rFonts w:cs="Times New Roman"/>
          <w:szCs w:val="28"/>
          <w:shd w:val="clear" w:color="auto" w:fill="FFFFFF"/>
        </w:rPr>
        <w:t>группы «</w:t>
      </w:r>
      <w:r w:rsidR="008845E3" w:rsidRPr="00651A12">
        <w:rPr>
          <w:rStyle w:val="apple-style-span"/>
          <w:rFonts w:cs="Times New Roman"/>
          <w:szCs w:val="28"/>
          <w:shd w:val="clear" w:color="auto" w:fill="FFFFFF"/>
          <w:lang w:val="en-US"/>
        </w:rPr>
        <w:t>RIBH</w:t>
      </w:r>
      <w:r w:rsidR="008845E3" w:rsidRPr="00651A12">
        <w:rPr>
          <w:rStyle w:val="apple-style-span"/>
          <w:rFonts w:cs="Times New Roman"/>
          <w:szCs w:val="28"/>
          <w:shd w:val="clear" w:color="auto" w:fill="FFFFFF"/>
        </w:rPr>
        <w:t>»</w:t>
      </w:r>
      <w:r w:rsidR="00DB09C4" w:rsidRPr="00651A12">
        <w:rPr>
          <w:rStyle w:val="apple-style-span"/>
          <w:rFonts w:cs="Times New Roman"/>
          <w:szCs w:val="28"/>
          <w:shd w:val="clear" w:color="auto" w:fill="FFFFFF"/>
        </w:rPr>
        <w:t xml:space="preserve"> в России в 1996 году. </w:t>
      </w:r>
      <w:r w:rsidR="00CA46DD" w:rsidRPr="00651A12">
        <w:rPr>
          <w:rStyle w:val="apple-style-span"/>
          <w:rFonts w:cs="Times New Roman"/>
          <w:szCs w:val="28"/>
          <w:shd w:val="clear" w:color="auto" w:fill="FFFFFF"/>
        </w:rPr>
        <w:t xml:space="preserve">Так быстро решить все вопросы помогло то, что «Райффайзенбанк» не хотел потерять хорошую возможность получить качественный банк с широкой сетью филиалов. Более того «Импэксбанк» </w:t>
      </w:r>
      <w:r w:rsidR="003C2B13" w:rsidRPr="00651A12">
        <w:rPr>
          <w:rStyle w:val="apple-style-span"/>
          <w:rFonts w:cs="Times New Roman"/>
          <w:szCs w:val="28"/>
          <w:shd w:val="clear" w:color="auto" w:fill="FFFFFF"/>
        </w:rPr>
        <w:t xml:space="preserve">был уже хорошо подготовлен к оформлению сделки в связи с переговорами с </w:t>
      </w:r>
      <w:r w:rsidR="00077AED" w:rsidRPr="00651A12">
        <w:rPr>
          <w:rStyle w:val="apple-style-span"/>
          <w:rFonts w:cs="Times New Roman"/>
          <w:szCs w:val="28"/>
          <w:shd w:val="clear" w:color="auto" w:fill="FFFFFF"/>
        </w:rPr>
        <w:t>«</w:t>
      </w:r>
      <w:r w:rsidR="003C2B13" w:rsidRPr="00651A12">
        <w:rPr>
          <w:rStyle w:val="apple-style-span"/>
          <w:rFonts w:cs="Times New Roman"/>
          <w:szCs w:val="28"/>
          <w:shd w:val="clear" w:color="auto" w:fill="FFFFFF"/>
        </w:rPr>
        <w:t>Deutsche Bank</w:t>
      </w:r>
      <w:r w:rsidR="00077AED" w:rsidRPr="00651A12">
        <w:rPr>
          <w:rStyle w:val="apple-style-span"/>
          <w:rFonts w:cs="Times New Roman"/>
          <w:szCs w:val="28"/>
          <w:shd w:val="clear" w:color="auto" w:fill="FFFFFF"/>
        </w:rPr>
        <w:t>»</w:t>
      </w:r>
      <w:r w:rsidR="003C2B13" w:rsidRPr="00651A12">
        <w:rPr>
          <w:rStyle w:val="apple-style-span"/>
          <w:rFonts w:cs="Times New Roman"/>
          <w:szCs w:val="28"/>
          <w:shd w:val="clear" w:color="auto" w:fill="FFFFFF"/>
        </w:rPr>
        <w:t xml:space="preserve"> о продаже, которые ничем не завершились.</w:t>
      </w:r>
    </w:p>
    <w:p w14:paraId="32B8E670" w14:textId="77777777" w:rsidR="00A87FF9" w:rsidRPr="00651A12" w:rsidRDefault="00F752FB" w:rsidP="006828FC">
      <w:pPr>
        <w:spacing w:line="360" w:lineRule="auto"/>
        <w:ind w:right="-1" w:firstLine="284"/>
        <w:jc w:val="both"/>
        <w:rPr>
          <w:rFonts w:cs="Times New Roman"/>
          <w:noProof/>
          <w:lang w:eastAsia="en-US"/>
        </w:rPr>
      </w:pPr>
      <w:r w:rsidRPr="00651A12">
        <w:rPr>
          <w:rStyle w:val="apple-style-span"/>
          <w:rFonts w:cs="Times New Roman"/>
          <w:szCs w:val="28"/>
          <w:shd w:val="clear" w:color="auto" w:fill="FFFFFF"/>
        </w:rPr>
        <w:t>Основно</w:t>
      </w:r>
      <w:r w:rsidR="008845E3" w:rsidRPr="00651A12">
        <w:rPr>
          <w:rStyle w:val="apple-style-span"/>
          <w:rFonts w:cs="Times New Roman"/>
          <w:szCs w:val="28"/>
          <w:shd w:val="clear" w:color="auto" w:fill="FFFFFF"/>
        </w:rPr>
        <w:t xml:space="preserve">й целью «Райффайзенбанка» стал полный пересмотр своей региональной стратегии и </w:t>
      </w:r>
      <w:r w:rsidRPr="00651A12">
        <w:rPr>
          <w:rStyle w:val="apple-style-span"/>
          <w:rFonts w:cs="Times New Roman"/>
          <w:szCs w:val="28"/>
          <w:shd w:val="clear" w:color="auto" w:fill="FFFFFF"/>
        </w:rPr>
        <w:t>включение в свою структуру розничной сети «Импэксбанка»</w:t>
      </w:r>
      <w:r w:rsidR="008845E3" w:rsidRPr="00651A12">
        <w:rPr>
          <w:rStyle w:val="apple-style-span"/>
          <w:rFonts w:cs="Times New Roman"/>
          <w:szCs w:val="28"/>
          <w:shd w:val="clear" w:color="auto" w:fill="FFFFFF"/>
        </w:rPr>
        <w:t xml:space="preserve"> в различных регионах</w:t>
      </w:r>
      <w:r w:rsidRPr="00651A12">
        <w:rPr>
          <w:rStyle w:val="apple-style-span"/>
          <w:rFonts w:cs="Times New Roman"/>
          <w:szCs w:val="28"/>
          <w:shd w:val="clear" w:color="auto" w:fill="FFFFFF"/>
        </w:rPr>
        <w:t>,</w:t>
      </w:r>
      <w:r w:rsidR="008845E3" w:rsidRPr="00651A12">
        <w:rPr>
          <w:rStyle w:val="apple-style-span"/>
          <w:rFonts w:cs="Times New Roman"/>
          <w:szCs w:val="28"/>
          <w:shd w:val="clear" w:color="auto" w:fill="FFFFFF"/>
        </w:rPr>
        <w:t xml:space="preserve"> которая</w:t>
      </w:r>
      <w:r w:rsidRPr="00651A12">
        <w:rPr>
          <w:rStyle w:val="apple-style-span"/>
          <w:rFonts w:cs="Times New Roman"/>
          <w:szCs w:val="28"/>
          <w:shd w:val="clear" w:color="auto" w:fill="FFFFFF"/>
        </w:rPr>
        <w:t xml:space="preserve"> </w:t>
      </w:r>
      <w:r w:rsidR="008845E3" w:rsidRPr="00651A12">
        <w:rPr>
          <w:rStyle w:val="apple-style-span"/>
          <w:rFonts w:cs="Times New Roman"/>
          <w:szCs w:val="28"/>
          <w:shd w:val="clear" w:color="auto" w:fill="FFFFFF"/>
        </w:rPr>
        <w:t>насчитывала более 189 отделений и дополнительных офисов, 350 точек кредитования и 335 банкоматов на момент покупки</w:t>
      </w:r>
      <w:r w:rsidR="00AC53B1" w:rsidRPr="00651A12">
        <w:rPr>
          <w:rStyle w:val="apple-style-span"/>
          <w:rFonts w:cs="Times New Roman"/>
          <w:szCs w:val="28"/>
          <w:shd w:val="clear" w:color="auto" w:fill="FFFFFF"/>
        </w:rPr>
        <w:t>.</w:t>
      </w:r>
      <w:r w:rsidR="008845E3" w:rsidRPr="00651A12">
        <w:rPr>
          <w:rStyle w:val="apple-style-span"/>
          <w:rFonts w:cs="Times New Roman"/>
          <w:szCs w:val="28"/>
          <w:shd w:val="clear" w:color="auto" w:fill="FFFFFF"/>
        </w:rPr>
        <w:t xml:space="preserve"> </w:t>
      </w:r>
      <w:r w:rsidR="00AC53B1" w:rsidRPr="00651A12">
        <w:rPr>
          <w:rStyle w:val="apple-style-span"/>
          <w:rFonts w:cs="Times New Roman"/>
          <w:szCs w:val="28"/>
          <w:shd w:val="clear" w:color="auto" w:fill="FFFFFF"/>
        </w:rPr>
        <w:t xml:space="preserve">Дочерний банк на тот момент располагал </w:t>
      </w:r>
      <w:r w:rsidR="008845E3" w:rsidRPr="00651A12">
        <w:rPr>
          <w:rStyle w:val="apple-style-span"/>
          <w:rFonts w:cs="Times New Roman"/>
          <w:szCs w:val="28"/>
          <w:shd w:val="clear" w:color="auto" w:fill="FFFFFF"/>
        </w:rPr>
        <w:t xml:space="preserve"> всего лишь 23 точками обслуживания в пяти городах страны</w:t>
      </w:r>
      <w:r w:rsidRPr="00651A12">
        <w:rPr>
          <w:rStyle w:val="apple-style-span"/>
          <w:rFonts w:cs="Times New Roman"/>
          <w:szCs w:val="28"/>
          <w:shd w:val="clear" w:color="auto" w:fill="FFFFFF"/>
        </w:rPr>
        <w:t>.</w:t>
      </w:r>
      <w:r w:rsidR="00AC53B1" w:rsidRPr="00651A12">
        <w:rPr>
          <w:rStyle w:val="FootnoteReference"/>
          <w:rFonts w:cs="Times New Roman"/>
          <w:szCs w:val="28"/>
          <w:shd w:val="clear" w:color="auto" w:fill="FFFFFF"/>
        </w:rPr>
        <w:footnoteReference w:id="59"/>
      </w:r>
      <w:r w:rsidRPr="00651A12">
        <w:rPr>
          <w:rStyle w:val="apple-style-span"/>
          <w:rFonts w:cs="Times New Roman"/>
          <w:szCs w:val="28"/>
          <w:shd w:val="clear" w:color="auto" w:fill="FFFFFF"/>
        </w:rPr>
        <w:t xml:space="preserve">Данная покупка позволила австрийскому банку </w:t>
      </w:r>
      <w:r w:rsidR="00336F01" w:rsidRPr="00651A12">
        <w:rPr>
          <w:rStyle w:val="apple-style-span"/>
          <w:rFonts w:cs="Times New Roman"/>
          <w:szCs w:val="28"/>
          <w:shd w:val="clear" w:color="auto" w:fill="FFFFFF"/>
        </w:rPr>
        <w:t xml:space="preserve">резко расширить свою сеть </w:t>
      </w:r>
      <w:r w:rsidR="00FF3E64" w:rsidRPr="00651A12">
        <w:rPr>
          <w:rStyle w:val="apple-style-span"/>
          <w:rFonts w:cs="Times New Roman"/>
          <w:szCs w:val="28"/>
          <w:shd w:val="clear" w:color="auto" w:fill="FFFFFF"/>
        </w:rPr>
        <w:t xml:space="preserve">и </w:t>
      </w:r>
      <w:r w:rsidRPr="00651A12">
        <w:rPr>
          <w:rStyle w:val="apple-style-span"/>
          <w:rFonts w:cs="Times New Roman"/>
          <w:szCs w:val="28"/>
          <w:shd w:val="clear" w:color="auto" w:fill="FFFFFF"/>
        </w:rPr>
        <w:t>выиграть как минимум 4 года, которые потребовались бы на органическое и постепенной развитие филиальной се</w:t>
      </w:r>
      <w:r w:rsidR="00FF3E64" w:rsidRPr="00651A12">
        <w:rPr>
          <w:rStyle w:val="apple-style-span"/>
          <w:rFonts w:cs="Times New Roman"/>
          <w:szCs w:val="28"/>
          <w:shd w:val="clear" w:color="auto" w:fill="FFFFFF"/>
        </w:rPr>
        <w:t xml:space="preserve">ти в России собственными силами. </w:t>
      </w:r>
      <w:r w:rsidR="008845E3" w:rsidRPr="00651A12">
        <w:rPr>
          <w:rStyle w:val="apple-style-span"/>
          <w:rFonts w:cs="Times New Roman"/>
          <w:szCs w:val="28"/>
          <w:shd w:val="clear" w:color="auto" w:fill="FFFFFF"/>
        </w:rPr>
        <w:t xml:space="preserve">В результате сделки увеличилась совместная региональная сеть нового банка, включающая 237 офисов по всей России, появились новые программы финансирования компаний малого и среднего бизнесов. Стратегия «Райффайзенбанка» сменилась на активное региональное развитие, так как именно в регионах они обнаружили огромный потенциал развития деятельности и роста. Руководство приняло решение использовать свою самую сильную сторону, а именно </w:t>
      </w:r>
      <w:r w:rsidR="00AC53B1" w:rsidRPr="00651A12">
        <w:rPr>
          <w:rStyle w:val="apple-style-span"/>
          <w:rFonts w:cs="Times New Roman"/>
          <w:szCs w:val="28"/>
          <w:shd w:val="clear" w:color="auto" w:fill="FFFFFF"/>
        </w:rPr>
        <w:t xml:space="preserve">осуществлять </w:t>
      </w:r>
      <w:r w:rsidR="008845E3" w:rsidRPr="00651A12">
        <w:rPr>
          <w:rStyle w:val="apple-style-span"/>
          <w:rFonts w:cs="Times New Roman"/>
          <w:szCs w:val="28"/>
          <w:shd w:val="clear" w:color="auto" w:fill="FFFFFF"/>
        </w:rPr>
        <w:t>обслуживание и финансирование корпоративного сектора, чтобы сохранить ведущие позиции в области предоставления банковских услуг юридическим лицам в России.</w:t>
      </w:r>
      <w:r w:rsidR="00900F30" w:rsidRPr="00651A12">
        <w:rPr>
          <w:rFonts w:cs="Times New Roman"/>
          <w:noProof/>
          <w:lang w:eastAsia="en-US"/>
        </w:rPr>
        <w:t xml:space="preserve"> </w:t>
      </w:r>
    </w:p>
    <w:p w14:paraId="47D1F4E6" w14:textId="4FEFEBBE" w:rsidR="00A87FF9" w:rsidRPr="00651A12" w:rsidRDefault="00A87FF9"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b/>
          <w:szCs w:val="28"/>
          <w:shd w:val="clear" w:color="auto" w:fill="FFFFFF"/>
        </w:rPr>
        <w:t>Рис. 8.</w:t>
      </w:r>
      <w:r w:rsidRPr="00651A12">
        <w:rPr>
          <w:rStyle w:val="apple-style-span"/>
          <w:rFonts w:cs="Times New Roman"/>
          <w:szCs w:val="28"/>
          <w:shd w:val="clear" w:color="auto" w:fill="FFFFFF"/>
        </w:rPr>
        <w:t xml:space="preserve"> Тенденция изменения числа отделений и филиалов «Райффайзенбанк» в России с 2004 по 2011 гг.</w:t>
      </w:r>
      <w:r w:rsidRPr="00651A12">
        <w:rPr>
          <w:rStyle w:val="FootnoteReference"/>
          <w:rFonts w:cs="Times New Roman"/>
          <w:szCs w:val="28"/>
          <w:shd w:val="clear" w:color="auto" w:fill="FFFFFF"/>
        </w:rPr>
        <w:footnoteReference w:id="60"/>
      </w:r>
    </w:p>
    <w:p w14:paraId="5951ADDF" w14:textId="7A6D2283" w:rsidR="008845E3" w:rsidRPr="00651A12" w:rsidRDefault="00900F30" w:rsidP="006828FC">
      <w:pPr>
        <w:spacing w:line="360" w:lineRule="auto"/>
        <w:ind w:right="-1" w:firstLine="284"/>
        <w:jc w:val="both"/>
        <w:rPr>
          <w:rStyle w:val="apple-style-span"/>
          <w:rFonts w:cs="Times New Roman"/>
          <w:szCs w:val="28"/>
          <w:shd w:val="clear" w:color="auto" w:fill="FFFFFF"/>
        </w:rPr>
      </w:pPr>
      <w:r w:rsidRPr="00651A12">
        <w:rPr>
          <w:rFonts w:cs="Times New Roman"/>
          <w:noProof/>
          <w:lang w:val="en-US" w:eastAsia="en-US"/>
        </w:rPr>
        <w:drawing>
          <wp:inline distT="0" distB="0" distL="0" distR="0" wp14:anchorId="71232097" wp14:editId="4233BEAD">
            <wp:extent cx="6057785" cy="2743200"/>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C9EA69" w14:textId="4CD9AF31" w:rsidR="00336F01" w:rsidRPr="00651A12" w:rsidRDefault="00336F01" w:rsidP="006828FC">
      <w:pPr>
        <w:spacing w:line="360" w:lineRule="auto"/>
        <w:ind w:right="-1" w:firstLine="284"/>
        <w:jc w:val="both"/>
        <w:rPr>
          <w:rStyle w:val="apple-style-span"/>
          <w:rFonts w:cs="Times New Roman"/>
          <w:szCs w:val="28"/>
        </w:rPr>
      </w:pPr>
      <w:r w:rsidRPr="00651A12">
        <w:rPr>
          <w:rStyle w:val="apple-style-span"/>
          <w:rFonts w:cs="Times New Roman"/>
          <w:b/>
          <w:i/>
          <w:szCs w:val="28"/>
          <w:shd w:val="clear" w:color="auto" w:fill="FFFFFF"/>
        </w:rPr>
        <w:t xml:space="preserve">Источник: </w:t>
      </w:r>
      <w:r w:rsidR="000B22F9" w:rsidRPr="00651A12">
        <w:rPr>
          <w:rFonts w:cs="Times New Roman"/>
          <w:szCs w:val="28"/>
        </w:rPr>
        <w:t>Годовой отчет З</w:t>
      </w:r>
      <w:r w:rsidR="00A87FF9" w:rsidRPr="00651A12">
        <w:rPr>
          <w:rFonts w:cs="Times New Roman"/>
          <w:szCs w:val="28"/>
        </w:rPr>
        <w:t>АО «Райффайзенбанк» за 2011 год</w:t>
      </w:r>
    </w:p>
    <w:p w14:paraId="4394F753" w14:textId="3F6E3950" w:rsidR="002608F4" w:rsidRPr="00651A12" w:rsidRDefault="00DB09C4"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В течение 2007 года </w:t>
      </w:r>
      <w:r w:rsidR="008110AD" w:rsidRPr="00651A12">
        <w:rPr>
          <w:rStyle w:val="apple-style-span"/>
          <w:rFonts w:cs="Times New Roman"/>
          <w:szCs w:val="28"/>
          <w:shd w:val="clear" w:color="auto" w:fill="FFFFFF"/>
        </w:rPr>
        <w:t>активно велся</w:t>
      </w:r>
      <w:r w:rsidRPr="00651A12">
        <w:rPr>
          <w:rStyle w:val="apple-style-span"/>
          <w:rFonts w:cs="Times New Roman"/>
          <w:szCs w:val="28"/>
          <w:shd w:val="clear" w:color="auto" w:fill="FFFFFF"/>
        </w:rPr>
        <w:t xml:space="preserve"> интеграционный процесс. </w:t>
      </w:r>
      <w:r w:rsidR="00AC53B1" w:rsidRPr="00651A12">
        <w:rPr>
          <w:rStyle w:val="apple-style-span"/>
          <w:rFonts w:cs="Times New Roman"/>
          <w:szCs w:val="28"/>
          <w:shd w:val="clear" w:color="auto" w:fill="FFFFFF"/>
        </w:rPr>
        <w:t xml:space="preserve">В течение первого года удалось достигнуть первого результата, которыми стало успешное объединение офисов </w:t>
      </w:r>
      <w:r w:rsidRPr="00651A12">
        <w:rPr>
          <w:rStyle w:val="apple-style-span"/>
          <w:rFonts w:cs="Times New Roman"/>
          <w:szCs w:val="28"/>
          <w:shd w:val="clear" w:color="auto" w:fill="FFFFFF"/>
        </w:rPr>
        <w:t>ЗАО «Райффайзе</w:t>
      </w:r>
      <w:r w:rsidR="008110AD" w:rsidRPr="00651A12">
        <w:rPr>
          <w:rStyle w:val="apple-style-span"/>
          <w:rFonts w:cs="Times New Roman"/>
          <w:szCs w:val="28"/>
          <w:shd w:val="clear" w:color="auto" w:fill="FFFFFF"/>
        </w:rPr>
        <w:t xml:space="preserve">нбанк Австрия» </w:t>
      </w:r>
      <w:r w:rsidR="00AC53B1" w:rsidRPr="00651A12">
        <w:rPr>
          <w:rStyle w:val="apple-style-span"/>
          <w:rFonts w:cs="Times New Roman"/>
          <w:szCs w:val="28"/>
          <w:shd w:val="clear" w:color="auto" w:fill="FFFFFF"/>
        </w:rPr>
        <w:t>и ОАО «Импэксбанк» в Краснодаре. Это дало</w:t>
      </w:r>
      <w:r w:rsidRPr="00651A12">
        <w:rPr>
          <w:rStyle w:val="apple-style-span"/>
          <w:rFonts w:cs="Times New Roman"/>
          <w:szCs w:val="28"/>
          <w:shd w:val="clear" w:color="auto" w:fill="FFFFFF"/>
        </w:rPr>
        <w:t xml:space="preserve"> бесценный опыт, который </w:t>
      </w:r>
      <w:r w:rsidR="008110AD" w:rsidRPr="00651A12">
        <w:rPr>
          <w:rStyle w:val="apple-style-span"/>
          <w:rFonts w:cs="Times New Roman"/>
          <w:szCs w:val="28"/>
          <w:shd w:val="clear" w:color="auto" w:fill="FFFFFF"/>
        </w:rPr>
        <w:t>в дальнейшем стал использоваться</w:t>
      </w:r>
      <w:r w:rsidRPr="00651A12">
        <w:rPr>
          <w:rStyle w:val="apple-style-span"/>
          <w:rFonts w:cs="Times New Roman"/>
          <w:szCs w:val="28"/>
          <w:shd w:val="clear" w:color="auto" w:fill="FFFFFF"/>
        </w:rPr>
        <w:t xml:space="preserve"> при провед</w:t>
      </w:r>
      <w:r w:rsidR="00336F01" w:rsidRPr="00651A12">
        <w:rPr>
          <w:rStyle w:val="apple-style-span"/>
          <w:rFonts w:cs="Times New Roman"/>
          <w:szCs w:val="28"/>
          <w:shd w:val="clear" w:color="auto" w:fill="FFFFFF"/>
        </w:rPr>
        <w:t xml:space="preserve">ении операционного объединения. </w:t>
      </w:r>
      <w:r w:rsidR="00AC53B1" w:rsidRPr="00651A12">
        <w:rPr>
          <w:rStyle w:val="apple-style-span"/>
          <w:rFonts w:cs="Times New Roman"/>
          <w:szCs w:val="28"/>
          <w:shd w:val="clear" w:color="auto" w:fill="FFFFFF"/>
        </w:rPr>
        <w:t>Райффайзенбанк также провел ребрендинг</w:t>
      </w:r>
      <w:r w:rsidR="00BA7450" w:rsidRPr="00651A12">
        <w:rPr>
          <w:rStyle w:val="apple-style-span"/>
          <w:rFonts w:cs="Times New Roman"/>
          <w:szCs w:val="28"/>
          <w:shd w:val="clear" w:color="auto" w:fill="FFFFFF"/>
        </w:rPr>
        <w:t xml:space="preserve"> всех филиалов и отделений</w:t>
      </w:r>
      <w:r w:rsidR="00AC53B1" w:rsidRPr="00651A12">
        <w:rPr>
          <w:rStyle w:val="apple-style-span"/>
          <w:rFonts w:cs="Times New Roman"/>
          <w:szCs w:val="28"/>
          <w:shd w:val="clear" w:color="auto" w:fill="FFFFFF"/>
        </w:rPr>
        <w:t xml:space="preserve"> </w:t>
      </w:r>
      <w:r w:rsidR="00BA7450" w:rsidRPr="00651A12">
        <w:rPr>
          <w:rStyle w:val="apple-style-span"/>
          <w:rFonts w:cs="Times New Roman"/>
          <w:szCs w:val="28"/>
          <w:shd w:val="clear" w:color="auto" w:fill="FFFFFF"/>
        </w:rPr>
        <w:t>на территории России, полностью устранив бренд «Импэксбанка»</w:t>
      </w:r>
      <w:r w:rsidR="002B249F" w:rsidRPr="00651A12">
        <w:rPr>
          <w:rStyle w:val="apple-style-span"/>
          <w:rFonts w:cs="Times New Roman"/>
          <w:szCs w:val="28"/>
          <w:shd w:val="clear" w:color="auto" w:fill="FFFFFF"/>
        </w:rPr>
        <w:t>. Стоит также отметить, что почти сразу началось осуществление многих операций с паями открытых паевых инвестиционных фондов под управлением</w:t>
      </w:r>
      <w:r w:rsidR="00BA7450" w:rsidRPr="00651A12">
        <w:rPr>
          <w:rStyle w:val="apple-style-span"/>
          <w:rFonts w:cs="Times New Roman"/>
          <w:szCs w:val="28"/>
          <w:shd w:val="clear" w:color="auto" w:fill="FFFFFF"/>
        </w:rPr>
        <w:t xml:space="preserve"> </w:t>
      </w:r>
      <w:r w:rsidRPr="00651A12">
        <w:rPr>
          <w:rStyle w:val="apple-style-span"/>
          <w:rFonts w:cs="Times New Roman"/>
          <w:szCs w:val="28"/>
          <w:shd w:val="clear" w:color="auto" w:fill="FFFFFF"/>
        </w:rPr>
        <w:t>ООО «УК «Райффайзен Капитал»»</w:t>
      </w:r>
      <w:r w:rsidR="002B249F" w:rsidRPr="00651A12">
        <w:rPr>
          <w:rStyle w:val="apple-style-span"/>
          <w:rFonts w:cs="Times New Roman"/>
          <w:szCs w:val="28"/>
          <w:shd w:val="clear" w:color="auto" w:fill="FFFFFF"/>
        </w:rPr>
        <w:t xml:space="preserve"> в офисах «Импэксбанка», в которых также стали доступны </w:t>
      </w:r>
      <w:r w:rsidR="002608F4" w:rsidRPr="00651A12">
        <w:rPr>
          <w:rStyle w:val="apple-style-span"/>
          <w:rFonts w:cs="Times New Roman"/>
          <w:szCs w:val="28"/>
          <w:shd w:val="clear" w:color="auto" w:fill="FFFFFF"/>
        </w:rPr>
        <w:t xml:space="preserve">клиентам </w:t>
      </w:r>
      <w:r w:rsidR="002B249F" w:rsidRPr="00651A12">
        <w:rPr>
          <w:rStyle w:val="apple-style-span"/>
          <w:rFonts w:cs="Times New Roman"/>
          <w:szCs w:val="28"/>
          <w:shd w:val="clear" w:color="auto" w:fill="FFFFFF"/>
        </w:rPr>
        <w:t>услуги</w:t>
      </w:r>
      <w:r w:rsidRPr="00651A12">
        <w:rPr>
          <w:rStyle w:val="apple-style-span"/>
          <w:rFonts w:cs="Times New Roman"/>
          <w:szCs w:val="28"/>
          <w:shd w:val="clear" w:color="auto" w:fill="FFFFFF"/>
        </w:rPr>
        <w:t xml:space="preserve"> НПФ «Райффайзен» по негосударс</w:t>
      </w:r>
      <w:r w:rsidR="002608F4" w:rsidRPr="00651A12">
        <w:rPr>
          <w:rStyle w:val="apple-style-span"/>
          <w:rFonts w:cs="Times New Roman"/>
          <w:szCs w:val="28"/>
          <w:shd w:val="clear" w:color="auto" w:fill="FFFFFF"/>
        </w:rPr>
        <w:t xml:space="preserve">твенному пенсионному обеспечению. </w:t>
      </w:r>
      <w:r w:rsidR="00901955" w:rsidRPr="00651A12">
        <w:rPr>
          <w:rStyle w:val="FootnoteReference"/>
          <w:rFonts w:cs="Times New Roman"/>
          <w:szCs w:val="28"/>
          <w:shd w:val="clear" w:color="auto" w:fill="FFFFFF"/>
        </w:rPr>
        <w:footnoteReference w:id="61"/>
      </w:r>
      <w:r w:rsidR="002608F4" w:rsidRPr="00651A12">
        <w:rPr>
          <w:rStyle w:val="apple-style-span"/>
          <w:rFonts w:cs="Times New Roman"/>
          <w:szCs w:val="28"/>
          <w:shd w:val="clear" w:color="auto" w:fill="FFFFFF"/>
        </w:rPr>
        <w:t>Объединенный банк также сразу начал предоставление кредитов компаниям-партнерам в различных регионах. Интеграция региональных процессов продолжилась и в 2008 году, когда произошло операционное слияние тех филиалов, которые продолжали работу как формально обособленные структуры после юридического объединения банков</w:t>
      </w:r>
      <w:r w:rsidR="00D80360" w:rsidRPr="00651A12">
        <w:rPr>
          <w:rStyle w:val="apple-style-span"/>
          <w:rFonts w:cs="Times New Roman"/>
          <w:szCs w:val="28"/>
          <w:shd w:val="clear" w:color="auto" w:fill="FFFFFF"/>
        </w:rPr>
        <w:t>.</w:t>
      </w:r>
      <w:r w:rsidR="002608F4" w:rsidRPr="00651A12">
        <w:rPr>
          <w:rStyle w:val="apple-style-span"/>
          <w:rFonts w:cs="Times New Roman"/>
          <w:szCs w:val="28"/>
          <w:shd w:val="clear" w:color="auto" w:fill="FFFFFF"/>
        </w:rPr>
        <w:t xml:space="preserve"> В 2009 году продолжилась работа «Райффайзенбанка» по дальнейшему целенаправленному развитию региональной сети банков в России. Основным мотивом стало стремление к увеличению качества обслуживания клиентов, росту прибыли, а также расширению представленности в основных рыночных сегментах. «Райффайзенбанк» старался также разрешить все проблемы региональных подразделений, которые сохранились еще от «Импэксбанка», и качественно повысить их эффективность</w:t>
      </w:r>
      <w:r w:rsidR="00D80360" w:rsidRPr="00651A12">
        <w:rPr>
          <w:rStyle w:val="apple-style-span"/>
          <w:rFonts w:cs="Times New Roman"/>
          <w:szCs w:val="28"/>
          <w:shd w:val="clear" w:color="auto" w:fill="FFFFFF"/>
        </w:rPr>
        <w:t xml:space="preserve">. </w:t>
      </w:r>
      <w:r w:rsidR="003012E0" w:rsidRPr="00651A12">
        <w:rPr>
          <w:rStyle w:val="apple-style-span"/>
          <w:rFonts w:cs="Times New Roman"/>
          <w:szCs w:val="28"/>
          <w:shd w:val="clear" w:color="auto" w:fill="FFFFFF"/>
        </w:rPr>
        <w:t>К концу</w:t>
      </w:r>
      <w:r w:rsidR="002608F4" w:rsidRPr="00651A12">
        <w:rPr>
          <w:rStyle w:val="apple-style-span"/>
          <w:rFonts w:cs="Times New Roman"/>
          <w:szCs w:val="28"/>
          <w:shd w:val="clear" w:color="auto" w:fill="FFFFFF"/>
        </w:rPr>
        <w:t xml:space="preserve"> 2009 года, «Райффайзенбанк»</w:t>
      </w:r>
      <w:r w:rsidR="003012E0" w:rsidRPr="00651A12">
        <w:rPr>
          <w:rStyle w:val="apple-style-span"/>
          <w:rFonts w:cs="Times New Roman"/>
          <w:szCs w:val="28"/>
          <w:shd w:val="clear" w:color="auto" w:fill="FFFFFF"/>
        </w:rPr>
        <w:t xml:space="preserve"> серьезно</w:t>
      </w:r>
      <w:r w:rsidR="002608F4" w:rsidRPr="00651A12">
        <w:rPr>
          <w:rStyle w:val="apple-style-span"/>
          <w:rFonts w:cs="Times New Roman"/>
          <w:szCs w:val="28"/>
          <w:shd w:val="clear" w:color="auto" w:fill="FFFFFF"/>
        </w:rPr>
        <w:t xml:space="preserve"> увеличил сво</w:t>
      </w:r>
      <w:r w:rsidR="003012E0" w:rsidRPr="00651A12">
        <w:rPr>
          <w:rStyle w:val="apple-style-span"/>
          <w:rFonts w:cs="Times New Roman"/>
          <w:szCs w:val="28"/>
          <w:shd w:val="clear" w:color="auto" w:fill="FFFFFF"/>
        </w:rPr>
        <w:t>е</w:t>
      </w:r>
      <w:r w:rsidR="002608F4" w:rsidRPr="00651A12">
        <w:rPr>
          <w:rStyle w:val="apple-style-span"/>
          <w:rFonts w:cs="Times New Roman"/>
          <w:szCs w:val="28"/>
          <w:shd w:val="clear" w:color="auto" w:fill="FFFFFF"/>
        </w:rPr>
        <w:t xml:space="preserve"> региональное присутствие </w:t>
      </w:r>
      <w:r w:rsidR="003012E0" w:rsidRPr="00651A12">
        <w:rPr>
          <w:rStyle w:val="apple-style-span"/>
          <w:rFonts w:cs="Times New Roman"/>
          <w:szCs w:val="28"/>
          <w:shd w:val="clear" w:color="auto" w:fill="FFFFFF"/>
        </w:rPr>
        <w:t>и насчитывал 211 точек продаж, расположенных в 47 регионах России и 71 населенном пункте, при этом 88 из них располагались в Москве.</w:t>
      </w:r>
      <w:r w:rsidR="00C55353" w:rsidRPr="00651A12">
        <w:rPr>
          <w:rStyle w:val="FootnoteReference"/>
          <w:rFonts w:cs="Times New Roman"/>
          <w:szCs w:val="28"/>
        </w:rPr>
        <w:footnoteReference w:id="62"/>
      </w:r>
    </w:p>
    <w:p w14:paraId="6F9D27AB" w14:textId="44E1042B" w:rsidR="00517A2A" w:rsidRPr="00651A12" w:rsidRDefault="008110AD" w:rsidP="006828FC">
      <w:pPr>
        <w:spacing w:line="360" w:lineRule="auto"/>
        <w:ind w:right="-1" w:firstLine="284"/>
        <w:jc w:val="both"/>
        <w:rPr>
          <w:rFonts w:cs="Times New Roman"/>
          <w:noProof/>
          <w:lang w:eastAsia="en-US"/>
        </w:rPr>
      </w:pPr>
      <w:r w:rsidRPr="00651A12">
        <w:rPr>
          <w:rStyle w:val="apple-style-span"/>
          <w:rFonts w:cs="Times New Roman"/>
          <w:szCs w:val="28"/>
          <w:shd w:val="clear" w:color="auto" w:fill="FFFFFF"/>
        </w:rPr>
        <w:t>После сравнения предпочтений</w:t>
      </w:r>
      <w:r w:rsidR="00DB09C4" w:rsidRPr="00651A12">
        <w:rPr>
          <w:rStyle w:val="apple-style-span"/>
          <w:rFonts w:cs="Times New Roman"/>
          <w:szCs w:val="28"/>
          <w:shd w:val="clear" w:color="auto" w:fill="FFFFFF"/>
        </w:rPr>
        <w:t xml:space="preserve"> </w:t>
      </w:r>
      <w:r w:rsidRPr="00651A12">
        <w:rPr>
          <w:rStyle w:val="apple-style-span"/>
          <w:rFonts w:cs="Times New Roman"/>
          <w:szCs w:val="28"/>
          <w:shd w:val="clear" w:color="auto" w:fill="FFFFFF"/>
        </w:rPr>
        <w:t>клиентов обоих банков, была создана новая линейка розничных продуктов, а также введены</w:t>
      </w:r>
      <w:r w:rsidR="00DB09C4" w:rsidRPr="00651A12">
        <w:rPr>
          <w:rStyle w:val="apple-style-span"/>
          <w:rFonts w:cs="Times New Roman"/>
          <w:szCs w:val="28"/>
          <w:shd w:val="clear" w:color="auto" w:fill="FFFFFF"/>
        </w:rPr>
        <w:t xml:space="preserve"> новые виды депозитов</w:t>
      </w:r>
      <w:r w:rsidRPr="00651A12">
        <w:rPr>
          <w:rStyle w:val="apple-style-span"/>
          <w:rFonts w:cs="Times New Roman"/>
          <w:szCs w:val="28"/>
          <w:shd w:val="clear" w:color="auto" w:fill="FFFFFF"/>
        </w:rPr>
        <w:t xml:space="preserve"> и программ по автокредитованию</w:t>
      </w:r>
      <w:r w:rsidR="00DB09C4" w:rsidRPr="00651A12">
        <w:rPr>
          <w:rStyle w:val="apple-style-span"/>
          <w:rFonts w:cs="Times New Roman"/>
          <w:szCs w:val="28"/>
          <w:shd w:val="clear" w:color="auto" w:fill="FFFFFF"/>
        </w:rPr>
        <w:t>, расшире</w:t>
      </w:r>
      <w:r w:rsidRPr="00651A12">
        <w:rPr>
          <w:rStyle w:val="apple-style-span"/>
          <w:rFonts w:cs="Times New Roman"/>
          <w:szCs w:val="28"/>
          <w:shd w:val="clear" w:color="auto" w:fill="FFFFFF"/>
        </w:rPr>
        <w:t>н ряд потребительских кредитов.</w:t>
      </w:r>
      <w:r w:rsidR="00900F30" w:rsidRPr="00651A12">
        <w:rPr>
          <w:rFonts w:cs="Times New Roman"/>
          <w:noProof/>
          <w:lang w:eastAsia="en-US"/>
        </w:rPr>
        <w:t xml:space="preserve"> </w:t>
      </w:r>
    </w:p>
    <w:p w14:paraId="38BD4CE1" w14:textId="2113AF46" w:rsidR="00A87FF9" w:rsidRPr="00651A12" w:rsidRDefault="00A87FF9" w:rsidP="006828FC">
      <w:pPr>
        <w:spacing w:line="360" w:lineRule="auto"/>
        <w:ind w:right="-1" w:firstLine="284"/>
        <w:jc w:val="both"/>
        <w:rPr>
          <w:rFonts w:cs="Times New Roman"/>
          <w:szCs w:val="28"/>
          <w:shd w:val="clear" w:color="auto" w:fill="FFFFFF"/>
        </w:rPr>
      </w:pPr>
      <w:r w:rsidRPr="00651A12">
        <w:rPr>
          <w:rStyle w:val="apple-style-span"/>
          <w:rFonts w:cs="Times New Roman"/>
          <w:b/>
          <w:szCs w:val="28"/>
          <w:shd w:val="clear" w:color="auto" w:fill="FFFFFF"/>
        </w:rPr>
        <w:t>Рис. 9.</w:t>
      </w:r>
      <w:r w:rsidRPr="00651A12">
        <w:rPr>
          <w:rStyle w:val="apple-style-span"/>
          <w:rFonts w:cs="Times New Roman"/>
          <w:szCs w:val="28"/>
          <w:shd w:val="clear" w:color="auto" w:fill="FFFFFF"/>
        </w:rPr>
        <w:t xml:space="preserve"> График изменения активов «Райффайзенбанка» с 2004 по 2011 гг. (млн. руб.)</w:t>
      </w:r>
      <w:r w:rsidRPr="00651A12">
        <w:rPr>
          <w:rStyle w:val="FootnoteReference"/>
          <w:rFonts w:cs="Times New Roman"/>
          <w:szCs w:val="28"/>
          <w:shd w:val="clear" w:color="auto" w:fill="FFFFFF"/>
        </w:rPr>
        <w:footnoteReference w:id="63"/>
      </w:r>
    </w:p>
    <w:p w14:paraId="2660C56B" w14:textId="77777777" w:rsidR="001A6F0B" w:rsidRPr="00651A12" w:rsidRDefault="001A6F0B" w:rsidP="006828FC">
      <w:pPr>
        <w:spacing w:line="360" w:lineRule="auto"/>
        <w:ind w:right="-1" w:firstLine="284"/>
        <w:jc w:val="both"/>
        <w:rPr>
          <w:rStyle w:val="apple-style-span"/>
          <w:rFonts w:cs="Times New Roman"/>
          <w:szCs w:val="28"/>
          <w:shd w:val="clear" w:color="auto" w:fill="FFFFFF"/>
        </w:rPr>
      </w:pPr>
      <w:r w:rsidRPr="00651A12">
        <w:rPr>
          <w:rFonts w:cs="Times New Roman"/>
          <w:noProof/>
          <w:lang w:val="en-US" w:eastAsia="en-US"/>
        </w:rPr>
        <w:drawing>
          <wp:inline distT="0" distB="0" distL="0" distR="0" wp14:anchorId="01DED8AE" wp14:editId="37AA7C62">
            <wp:extent cx="5763375" cy="2743200"/>
            <wp:effectExtent l="0" t="0" r="2794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14BE8C" w14:textId="77777777" w:rsidR="001A6F0B" w:rsidRPr="00651A12" w:rsidRDefault="001A6F0B" w:rsidP="006828FC">
      <w:pPr>
        <w:spacing w:line="360" w:lineRule="auto"/>
        <w:ind w:right="-1" w:firstLine="284"/>
        <w:jc w:val="both"/>
        <w:rPr>
          <w:rStyle w:val="apple-style-span"/>
          <w:rFonts w:cs="Times New Roman"/>
          <w:b/>
          <w:i/>
          <w:szCs w:val="28"/>
          <w:shd w:val="clear" w:color="auto" w:fill="FFFFFF"/>
        </w:rPr>
      </w:pPr>
      <w:r w:rsidRPr="00651A12">
        <w:rPr>
          <w:rStyle w:val="apple-style-span"/>
          <w:rFonts w:cs="Times New Roman"/>
          <w:b/>
          <w:i/>
          <w:szCs w:val="28"/>
          <w:shd w:val="clear" w:color="auto" w:fill="FFFFFF"/>
        </w:rPr>
        <w:t xml:space="preserve">Источник: </w:t>
      </w:r>
      <w:r w:rsidRPr="00651A12">
        <w:rPr>
          <w:rFonts w:cs="Times New Roman"/>
          <w:szCs w:val="28"/>
        </w:rPr>
        <w:t>Годовой отчет ЗАО «Райффайзенбанк» за 2011 год</w:t>
      </w:r>
    </w:p>
    <w:p w14:paraId="06389E12" w14:textId="696C178A" w:rsidR="003A116C" w:rsidRPr="00651A12" w:rsidRDefault="008110AD"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В результате слияния с российским банком «Райффайзенбанк» не только получил широкую сеть филиалов по стране, но также и собственную систему денежных переводов вместе с возможностью по кредитованию малого и среднего бизнеса.</w:t>
      </w:r>
      <w:r w:rsidRPr="00651A12">
        <w:rPr>
          <w:rStyle w:val="FootnoteReference"/>
          <w:rFonts w:cs="Times New Roman"/>
          <w:szCs w:val="28"/>
          <w:shd w:val="clear" w:color="auto" w:fill="FFFFFF"/>
        </w:rPr>
        <w:footnoteReference w:id="64"/>
      </w:r>
      <w:r w:rsidRPr="00651A12">
        <w:rPr>
          <w:rFonts w:cs="Times New Roman"/>
          <w:szCs w:val="28"/>
        </w:rPr>
        <w:t xml:space="preserve"> Более того, </w:t>
      </w:r>
      <w:r w:rsidRPr="00651A12">
        <w:rPr>
          <w:rStyle w:val="apple-style-span"/>
          <w:rFonts w:cs="Times New Roman"/>
          <w:szCs w:val="28"/>
          <w:shd w:val="clear" w:color="auto" w:fill="FFFFFF"/>
        </w:rPr>
        <w:t xml:space="preserve">по итогам 2007 года активы Банка выросли на 48,5% и составили 444,2 млрд. рублей, прибыль Банка достигла </w:t>
      </w:r>
      <w:r w:rsidR="003012E0" w:rsidRPr="00651A12">
        <w:rPr>
          <w:rStyle w:val="apple-style-span"/>
          <w:rFonts w:cs="Times New Roman"/>
          <w:szCs w:val="28"/>
          <w:shd w:val="clear" w:color="auto" w:fill="FFFFFF"/>
        </w:rPr>
        <w:t>высокой</w:t>
      </w:r>
      <w:r w:rsidRPr="00651A12">
        <w:rPr>
          <w:rStyle w:val="apple-style-span"/>
          <w:rFonts w:cs="Times New Roman"/>
          <w:szCs w:val="28"/>
          <w:shd w:val="clear" w:color="auto" w:fill="FFFFFF"/>
        </w:rPr>
        <w:t xml:space="preserve"> отметки в 6,7 млрд</w:t>
      </w:r>
      <w:r w:rsidR="003012E0" w:rsidRPr="00651A12">
        <w:rPr>
          <w:rStyle w:val="apple-style-span"/>
          <w:rFonts w:cs="Times New Roman"/>
          <w:szCs w:val="28"/>
          <w:shd w:val="clear" w:color="auto" w:fill="FFFFFF"/>
        </w:rPr>
        <w:t>.</w:t>
      </w:r>
      <w:r w:rsidRPr="00651A12">
        <w:rPr>
          <w:rStyle w:val="apple-style-span"/>
          <w:rFonts w:cs="Times New Roman"/>
          <w:szCs w:val="28"/>
          <w:shd w:val="clear" w:color="auto" w:fill="FFFFFF"/>
        </w:rPr>
        <w:t xml:space="preserve"> рублей. Таким образом, ЗАО «Райффайзенбанк» вновь стал самым прибыльным банком группы «RIBH»</w:t>
      </w:r>
      <w:r w:rsidR="003012E0" w:rsidRPr="00651A12">
        <w:rPr>
          <w:rStyle w:val="apple-style-span"/>
          <w:rFonts w:cs="Times New Roman"/>
          <w:szCs w:val="28"/>
          <w:shd w:val="clear" w:color="auto" w:fill="FFFFFF"/>
        </w:rPr>
        <w:t xml:space="preserve"> на тот момент</w:t>
      </w:r>
      <w:r w:rsidRPr="00651A12">
        <w:rPr>
          <w:rStyle w:val="apple-style-span"/>
          <w:rFonts w:cs="Times New Roman"/>
          <w:szCs w:val="28"/>
          <w:shd w:val="clear" w:color="auto" w:fill="FFFFFF"/>
        </w:rPr>
        <w:t>.</w:t>
      </w:r>
      <w:r w:rsidRPr="00651A12">
        <w:rPr>
          <w:rFonts w:cs="Times New Roman"/>
          <w:szCs w:val="28"/>
        </w:rPr>
        <w:t xml:space="preserve"> </w:t>
      </w:r>
      <w:r w:rsidR="003012E0" w:rsidRPr="00651A12">
        <w:rPr>
          <w:rFonts w:cs="Times New Roman"/>
          <w:szCs w:val="28"/>
        </w:rPr>
        <w:t>Однако самым прибыльным периодом стал 2008 год, когда прибыль достигла 11,2 млрд. руб., а активы выросли до 620 млрд. руб., что стало рекордом с момента первого входа «Райффайзенбанка» на российский банковский рынок.</w:t>
      </w:r>
      <w:r w:rsidR="00CB02E9" w:rsidRPr="00651A12">
        <w:rPr>
          <w:rStyle w:val="FootnoteReference"/>
          <w:rFonts w:cs="Times New Roman"/>
          <w:szCs w:val="28"/>
          <w:shd w:val="clear" w:color="auto" w:fill="FFFFFF"/>
        </w:rPr>
        <w:footnoteReference w:id="65"/>
      </w:r>
      <w:r w:rsidR="00CB02E9" w:rsidRPr="00651A12">
        <w:rPr>
          <w:rFonts w:cs="Times New Roman"/>
          <w:szCs w:val="28"/>
        </w:rPr>
        <w:t xml:space="preserve"> </w:t>
      </w:r>
      <w:r w:rsidRPr="00651A12">
        <w:rPr>
          <w:rStyle w:val="apple-style-span"/>
          <w:rFonts w:cs="Times New Roman"/>
          <w:szCs w:val="28"/>
          <w:shd w:val="clear" w:color="auto" w:fill="FFFFFF"/>
        </w:rPr>
        <w:t xml:space="preserve">В течение 2007 года ЗАО «Райффайзенбанк» </w:t>
      </w:r>
      <w:r w:rsidR="003012E0" w:rsidRPr="00651A12">
        <w:rPr>
          <w:rStyle w:val="apple-style-span"/>
          <w:rFonts w:cs="Times New Roman"/>
          <w:szCs w:val="28"/>
          <w:shd w:val="clear" w:color="auto" w:fill="FFFFFF"/>
        </w:rPr>
        <w:t xml:space="preserve">также </w:t>
      </w:r>
      <w:r w:rsidRPr="00651A12">
        <w:rPr>
          <w:rStyle w:val="apple-style-span"/>
          <w:rFonts w:cs="Times New Roman"/>
          <w:szCs w:val="28"/>
          <w:shd w:val="clear" w:color="auto" w:fill="FFFFFF"/>
        </w:rPr>
        <w:t xml:space="preserve">укрепил лидирующие позиции в сегменте корпоративных финансов и инвестиционно-банковской деятельности в России. Корпоративный кредитный портфель составил 211,7 млрд рублей, продемонстрировав активный рост в 53% по сравнению с прошлым годом. </w:t>
      </w:r>
    </w:p>
    <w:p w14:paraId="4F528C5D" w14:textId="670ADF64" w:rsidR="00A87FF9" w:rsidRPr="00651A12" w:rsidRDefault="00A87FF9"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b/>
          <w:szCs w:val="28"/>
          <w:shd w:val="clear" w:color="auto" w:fill="FFFFFF"/>
        </w:rPr>
        <w:t>Рис. 10.</w:t>
      </w:r>
      <w:r w:rsidRPr="00651A12">
        <w:rPr>
          <w:rStyle w:val="apple-style-span"/>
          <w:rFonts w:cs="Times New Roman"/>
          <w:szCs w:val="28"/>
          <w:shd w:val="clear" w:color="auto" w:fill="FFFFFF"/>
        </w:rPr>
        <w:t xml:space="preserve"> График изменения прибыли «Райффайзенбанка» с 2004 по 2011 гг. (млн. руб.)</w:t>
      </w:r>
      <w:r w:rsidRPr="00651A12">
        <w:rPr>
          <w:rStyle w:val="FootnoteReference"/>
          <w:rFonts w:cs="Times New Roman"/>
          <w:szCs w:val="28"/>
          <w:shd w:val="clear" w:color="auto" w:fill="FFFFFF"/>
        </w:rPr>
        <w:footnoteReference w:id="66"/>
      </w:r>
    </w:p>
    <w:p w14:paraId="75DE515C" w14:textId="6D513A5B" w:rsidR="008110AD" w:rsidRPr="00651A12" w:rsidRDefault="003A116C" w:rsidP="006828FC">
      <w:pPr>
        <w:spacing w:line="360" w:lineRule="auto"/>
        <w:ind w:right="-1" w:firstLine="284"/>
        <w:jc w:val="both"/>
        <w:rPr>
          <w:rStyle w:val="apple-style-span"/>
          <w:rFonts w:cs="Times New Roman"/>
          <w:szCs w:val="28"/>
        </w:rPr>
      </w:pPr>
      <w:r w:rsidRPr="00651A12">
        <w:rPr>
          <w:rFonts w:cs="Times New Roman"/>
          <w:noProof/>
          <w:lang w:val="en-US" w:eastAsia="en-US"/>
        </w:rPr>
        <w:drawing>
          <wp:inline distT="0" distB="0" distL="0" distR="0" wp14:anchorId="6038B256" wp14:editId="7C228566">
            <wp:extent cx="5763375" cy="2743200"/>
            <wp:effectExtent l="0" t="0" r="2794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110AD" w:rsidRPr="00651A12">
        <w:rPr>
          <w:rStyle w:val="apple-style-span"/>
          <w:rFonts w:cs="Times New Roman"/>
          <w:szCs w:val="28"/>
          <w:shd w:val="clear" w:color="auto" w:fill="FFFFFF"/>
        </w:rPr>
        <w:t xml:space="preserve"> </w:t>
      </w:r>
    </w:p>
    <w:p w14:paraId="6AC2780E" w14:textId="57281495" w:rsidR="000B22F9" w:rsidRPr="00651A12" w:rsidRDefault="000B22F9" w:rsidP="006828FC">
      <w:pPr>
        <w:spacing w:line="360" w:lineRule="auto"/>
        <w:ind w:right="-1" w:firstLine="284"/>
        <w:jc w:val="both"/>
        <w:rPr>
          <w:rStyle w:val="apple-style-span"/>
          <w:rFonts w:cs="Times New Roman"/>
          <w:b/>
          <w:i/>
          <w:szCs w:val="28"/>
          <w:shd w:val="clear" w:color="auto" w:fill="FFFFFF"/>
        </w:rPr>
      </w:pPr>
      <w:r w:rsidRPr="00651A12">
        <w:rPr>
          <w:rStyle w:val="apple-style-span"/>
          <w:rFonts w:cs="Times New Roman"/>
          <w:b/>
          <w:i/>
          <w:szCs w:val="28"/>
          <w:shd w:val="clear" w:color="auto" w:fill="FFFFFF"/>
        </w:rPr>
        <w:t xml:space="preserve">Источник: </w:t>
      </w:r>
      <w:r w:rsidRPr="00651A12">
        <w:rPr>
          <w:rFonts w:cs="Times New Roman"/>
          <w:szCs w:val="28"/>
        </w:rPr>
        <w:t>Годовой отчет ЗАО «Райффайзенбанк» за 2011 год</w:t>
      </w:r>
    </w:p>
    <w:p w14:paraId="6923C62D" w14:textId="56A54F2E" w:rsidR="00517A2A" w:rsidRPr="00651A12" w:rsidRDefault="00336F01"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После </w:t>
      </w:r>
      <w:r w:rsidR="00517A2A" w:rsidRPr="00651A12">
        <w:rPr>
          <w:rStyle w:val="apple-style-span"/>
          <w:rFonts w:cs="Times New Roman"/>
          <w:szCs w:val="28"/>
          <w:shd w:val="clear" w:color="auto" w:fill="FFFFFF"/>
        </w:rPr>
        <w:t>юридическо</w:t>
      </w:r>
      <w:r w:rsidRPr="00651A12">
        <w:rPr>
          <w:rStyle w:val="apple-style-span"/>
          <w:rFonts w:cs="Times New Roman"/>
          <w:szCs w:val="28"/>
          <w:shd w:val="clear" w:color="auto" w:fill="FFFFFF"/>
        </w:rPr>
        <w:t>го</w:t>
      </w:r>
      <w:r w:rsidR="00517A2A" w:rsidRPr="00651A12">
        <w:rPr>
          <w:rStyle w:val="apple-style-span"/>
          <w:rFonts w:cs="Times New Roman"/>
          <w:szCs w:val="28"/>
          <w:shd w:val="clear" w:color="auto" w:fill="FFFFFF"/>
        </w:rPr>
        <w:t xml:space="preserve"> объединени</w:t>
      </w:r>
      <w:r w:rsidRPr="00651A12">
        <w:rPr>
          <w:rStyle w:val="apple-style-span"/>
          <w:rFonts w:cs="Times New Roman"/>
          <w:szCs w:val="28"/>
          <w:shd w:val="clear" w:color="auto" w:fill="FFFFFF"/>
        </w:rPr>
        <w:t xml:space="preserve">я </w:t>
      </w:r>
      <w:r w:rsidR="00517A2A" w:rsidRPr="00651A12">
        <w:rPr>
          <w:rStyle w:val="apple-style-span"/>
          <w:rFonts w:cs="Times New Roman"/>
          <w:szCs w:val="28"/>
          <w:shd w:val="clear" w:color="auto" w:fill="FFFFFF"/>
        </w:rPr>
        <w:t>ОАО «И</w:t>
      </w:r>
      <w:r w:rsidR="008845E3" w:rsidRPr="00651A12">
        <w:rPr>
          <w:rStyle w:val="apple-style-span"/>
          <w:rFonts w:cs="Times New Roman"/>
          <w:szCs w:val="28"/>
          <w:shd w:val="clear" w:color="auto" w:fill="FFFFFF"/>
        </w:rPr>
        <w:t>мпэксбанк</w:t>
      </w:r>
      <w:r w:rsidR="00517A2A" w:rsidRPr="00651A12">
        <w:rPr>
          <w:rStyle w:val="apple-style-span"/>
          <w:rFonts w:cs="Times New Roman"/>
          <w:szCs w:val="28"/>
          <w:shd w:val="clear" w:color="auto" w:fill="FFFFFF"/>
        </w:rPr>
        <w:t>» и ЗАО «Райффайзенбанк Австрия»,</w:t>
      </w:r>
      <w:r w:rsidRPr="00651A12">
        <w:rPr>
          <w:rStyle w:val="apple-style-span"/>
          <w:rFonts w:cs="Times New Roman"/>
          <w:szCs w:val="28"/>
          <w:shd w:val="clear" w:color="auto" w:fill="FFFFFF"/>
        </w:rPr>
        <w:t xml:space="preserve"> произошло значительн</w:t>
      </w:r>
      <w:r w:rsidR="00AA16B8" w:rsidRPr="00651A12">
        <w:rPr>
          <w:rStyle w:val="apple-style-span"/>
          <w:rFonts w:cs="Times New Roman"/>
          <w:szCs w:val="28"/>
          <w:shd w:val="clear" w:color="auto" w:fill="FFFFFF"/>
        </w:rPr>
        <w:t xml:space="preserve">ое увеличение штата сотрудников, что хорошо видно на Рис. 11. </w:t>
      </w:r>
      <w:r w:rsidRPr="00651A12">
        <w:rPr>
          <w:rStyle w:val="apple-style-span"/>
          <w:rFonts w:cs="Times New Roman"/>
          <w:szCs w:val="28"/>
          <w:shd w:val="clear" w:color="auto" w:fill="FFFFFF"/>
        </w:rPr>
        <w:t xml:space="preserve">Это поставило перед </w:t>
      </w:r>
      <w:r w:rsidR="00517A2A" w:rsidRPr="00651A12">
        <w:rPr>
          <w:rStyle w:val="apple-style-span"/>
          <w:rFonts w:cs="Times New Roman"/>
          <w:szCs w:val="28"/>
          <w:shd w:val="clear" w:color="auto" w:fill="FFFFFF"/>
        </w:rPr>
        <w:t xml:space="preserve">управлением по работе </w:t>
      </w:r>
      <w:r w:rsidRPr="00651A12">
        <w:rPr>
          <w:rStyle w:val="apple-style-span"/>
          <w:rFonts w:cs="Times New Roman"/>
          <w:szCs w:val="28"/>
          <w:shd w:val="clear" w:color="auto" w:fill="FFFFFF"/>
        </w:rPr>
        <w:t>с персоналом новые задачи, свя</w:t>
      </w:r>
      <w:r w:rsidR="00517A2A" w:rsidRPr="00651A12">
        <w:rPr>
          <w:rStyle w:val="apple-style-span"/>
          <w:rFonts w:cs="Times New Roman"/>
          <w:szCs w:val="28"/>
          <w:shd w:val="clear" w:color="auto" w:fill="FFFFFF"/>
        </w:rPr>
        <w:t>занные с администрирован</w:t>
      </w:r>
      <w:r w:rsidRPr="00651A12">
        <w:rPr>
          <w:rStyle w:val="apple-style-span"/>
          <w:rFonts w:cs="Times New Roman"/>
          <w:szCs w:val="28"/>
          <w:shd w:val="clear" w:color="auto" w:fill="FFFFFF"/>
        </w:rPr>
        <w:t>ием, ротацией, обучением и раз</w:t>
      </w:r>
      <w:r w:rsidR="00517A2A" w:rsidRPr="00651A12">
        <w:rPr>
          <w:rStyle w:val="apple-style-span"/>
          <w:rFonts w:cs="Times New Roman"/>
          <w:szCs w:val="28"/>
          <w:shd w:val="clear" w:color="auto" w:fill="FFFFFF"/>
        </w:rPr>
        <w:t>витием сотрудников.</w:t>
      </w:r>
      <w:r w:rsidRPr="00651A12">
        <w:rPr>
          <w:rStyle w:val="apple-style-span"/>
          <w:rFonts w:cs="Times New Roman"/>
          <w:szCs w:val="28"/>
          <w:shd w:val="clear" w:color="auto" w:fill="FFFFFF"/>
        </w:rPr>
        <w:t xml:space="preserve"> В</w:t>
      </w:r>
      <w:r w:rsidR="00517A2A" w:rsidRPr="00651A12">
        <w:rPr>
          <w:rStyle w:val="apple-style-span"/>
          <w:rFonts w:cs="Times New Roman"/>
          <w:szCs w:val="28"/>
          <w:shd w:val="clear" w:color="auto" w:fill="FFFFFF"/>
        </w:rPr>
        <w:t xml:space="preserve"> течени</w:t>
      </w:r>
      <w:r w:rsidRPr="00651A12">
        <w:rPr>
          <w:rStyle w:val="apple-style-span"/>
          <w:rFonts w:cs="Times New Roman"/>
          <w:szCs w:val="28"/>
          <w:shd w:val="clear" w:color="auto" w:fill="FFFFFF"/>
        </w:rPr>
        <w:t>е 2007 года было принято рекорд</w:t>
      </w:r>
      <w:r w:rsidR="00517A2A" w:rsidRPr="00651A12">
        <w:rPr>
          <w:rStyle w:val="apple-style-span"/>
          <w:rFonts w:cs="Times New Roman"/>
          <w:szCs w:val="28"/>
          <w:shd w:val="clear" w:color="auto" w:fill="FFFFFF"/>
        </w:rPr>
        <w:t>ное количество новых сотруд</w:t>
      </w:r>
      <w:r w:rsidRPr="00651A12">
        <w:rPr>
          <w:rStyle w:val="apple-style-span"/>
          <w:rFonts w:cs="Times New Roman"/>
          <w:szCs w:val="28"/>
          <w:shd w:val="clear" w:color="auto" w:fill="FFFFFF"/>
        </w:rPr>
        <w:t>ников для работы в сфере обслу</w:t>
      </w:r>
      <w:r w:rsidR="00517A2A" w:rsidRPr="00651A12">
        <w:rPr>
          <w:rStyle w:val="apple-style-span"/>
          <w:rFonts w:cs="Times New Roman"/>
          <w:szCs w:val="28"/>
          <w:shd w:val="clear" w:color="auto" w:fill="FFFFFF"/>
        </w:rPr>
        <w:t>живания частных клиентов.</w:t>
      </w:r>
      <w:r w:rsidRPr="00651A12">
        <w:rPr>
          <w:rStyle w:val="apple-style-span"/>
          <w:rFonts w:cs="Times New Roman"/>
          <w:szCs w:val="28"/>
          <w:shd w:val="clear" w:color="auto" w:fill="FFFFFF"/>
        </w:rPr>
        <w:t xml:space="preserve"> С учетом широкой разветвленной </w:t>
      </w:r>
      <w:r w:rsidR="00517A2A" w:rsidRPr="00651A12">
        <w:rPr>
          <w:rStyle w:val="apple-style-span"/>
          <w:rFonts w:cs="Times New Roman"/>
          <w:szCs w:val="28"/>
          <w:shd w:val="clear" w:color="auto" w:fill="FFFFFF"/>
        </w:rPr>
        <w:t>сети</w:t>
      </w:r>
      <w:r w:rsidR="003012E0" w:rsidRPr="00651A12">
        <w:rPr>
          <w:rStyle w:val="apple-style-span"/>
          <w:rFonts w:cs="Times New Roman"/>
          <w:szCs w:val="28"/>
          <w:shd w:val="clear" w:color="auto" w:fill="FFFFFF"/>
        </w:rPr>
        <w:t xml:space="preserve"> </w:t>
      </w:r>
      <w:r w:rsidR="00CB02E9" w:rsidRPr="00651A12">
        <w:rPr>
          <w:rStyle w:val="apple-style-span"/>
          <w:rFonts w:cs="Times New Roman"/>
          <w:szCs w:val="28"/>
          <w:shd w:val="clear" w:color="auto" w:fill="FFFFFF"/>
        </w:rPr>
        <w:t>региональных филиалов ОАО «Импэксбанк» в России в 2007 году соотношение количества персонала в Москве и регионах практически сравнялось</w:t>
      </w:r>
      <w:r w:rsidR="00517A2A" w:rsidRPr="00651A12">
        <w:rPr>
          <w:rStyle w:val="apple-style-span"/>
          <w:rFonts w:cs="Times New Roman"/>
          <w:szCs w:val="28"/>
          <w:shd w:val="clear" w:color="auto" w:fill="FFFFFF"/>
        </w:rPr>
        <w:t>.</w:t>
      </w:r>
      <w:r w:rsidR="000B22F9" w:rsidRPr="00651A12">
        <w:rPr>
          <w:rStyle w:val="FootnoteReference"/>
          <w:rFonts w:cs="Times New Roman"/>
          <w:szCs w:val="28"/>
          <w:shd w:val="clear" w:color="auto" w:fill="FFFFFF"/>
        </w:rPr>
        <w:footnoteReference w:id="67"/>
      </w:r>
    </w:p>
    <w:p w14:paraId="18DC93BB" w14:textId="2F040B82" w:rsidR="00A87FF9" w:rsidRPr="00651A12" w:rsidRDefault="00A87FF9"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b/>
          <w:szCs w:val="28"/>
          <w:shd w:val="clear" w:color="auto" w:fill="FFFFFF"/>
        </w:rPr>
        <w:t>Рис. 11.</w:t>
      </w:r>
      <w:r w:rsidRPr="00651A12">
        <w:rPr>
          <w:rStyle w:val="apple-style-span"/>
          <w:rFonts w:cs="Times New Roman"/>
          <w:szCs w:val="28"/>
          <w:shd w:val="clear" w:color="auto" w:fill="FFFFFF"/>
        </w:rPr>
        <w:t xml:space="preserve"> График изменения числа сотрудников «Райффайзенбанка» в России с 2004 по 2011 гг. (человек)</w:t>
      </w:r>
      <w:r w:rsidRPr="00651A12">
        <w:rPr>
          <w:rStyle w:val="FootnoteReference"/>
          <w:rFonts w:cs="Times New Roman"/>
          <w:szCs w:val="28"/>
          <w:shd w:val="clear" w:color="auto" w:fill="FFFFFF"/>
        </w:rPr>
        <w:footnoteReference w:id="68"/>
      </w:r>
    </w:p>
    <w:p w14:paraId="6E8B8859" w14:textId="77777777" w:rsidR="001A6F0B" w:rsidRPr="00651A12" w:rsidRDefault="001A6F0B" w:rsidP="006828FC">
      <w:pPr>
        <w:spacing w:line="360" w:lineRule="auto"/>
        <w:ind w:right="-1" w:firstLine="284"/>
        <w:jc w:val="both"/>
        <w:rPr>
          <w:rStyle w:val="apple-style-span"/>
          <w:rFonts w:cs="Times New Roman"/>
          <w:szCs w:val="28"/>
          <w:shd w:val="clear" w:color="auto" w:fill="FFFFFF"/>
          <w:lang w:val="en-US"/>
        </w:rPr>
      </w:pPr>
      <w:r w:rsidRPr="00651A12">
        <w:rPr>
          <w:rFonts w:cs="Times New Roman"/>
          <w:noProof/>
          <w:lang w:val="en-US" w:eastAsia="en-US"/>
        </w:rPr>
        <w:drawing>
          <wp:inline distT="0" distB="0" distL="0" distR="0" wp14:anchorId="23835E7C" wp14:editId="7225C7BB">
            <wp:extent cx="5943485" cy="2596515"/>
            <wp:effectExtent l="0" t="0" r="2603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DE55B9" w14:textId="5E9933AF" w:rsidR="001A6F0B" w:rsidRPr="00651A12" w:rsidRDefault="001A6F0B" w:rsidP="006828FC">
      <w:pPr>
        <w:spacing w:line="360" w:lineRule="auto"/>
        <w:ind w:right="-1" w:firstLine="284"/>
        <w:jc w:val="both"/>
        <w:rPr>
          <w:rStyle w:val="apple-style-span"/>
          <w:rFonts w:cs="Times New Roman"/>
          <w:b/>
          <w:i/>
          <w:szCs w:val="28"/>
          <w:shd w:val="clear" w:color="auto" w:fill="FFFFFF"/>
        </w:rPr>
      </w:pPr>
      <w:r w:rsidRPr="00651A12">
        <w:rPr>
          <w:rStyle w:val="apple-style-span"/>
          <w:rFonts w:cs="Times New Roman"/>
          <w:b/>
          <w:i/>
          <w:szCs w:val="28"/>
          <w:shd w:val="clear" w:color="auto" w:fill="FFFFFF"/>
        </w:rPr>
        <w:t xml:space="preserve">Источник: </w:t>
      </w:r>
      <w:r w:rsidRPr="00651A12">
        <w:rPr>
          <w:rFonts w:cs="Times New Roman"/>
          <w:szCs w:val="28"/>
        </w:rPr>
        <w:t>Годовой отчет ЗАО «Райффайзенбанк» за 2011 год</w:t>
      </w:r>
    </w:p>
    <w:p w14:paraId="630E76CA" w14:textId="7249FFAF" w:rsidR="00FF3E64" w:rsidRPr="00651A12" w:rsidRDefault="00336F01" w:rsidP="006828FC">
      <w:pPr>
        <w:spacing w:line="360" w:lineRule="auto"/>
        <w:ind w:right="-1" w:firstLine="284"/>
        <w:jc w:val="both"/>
        <w:rPr>
          <w:rStyle w:val="apple-style-span"/>
          <w:rFonts w:cs="Times New Roman"/>
          <w:szCs w:val="28"/>
          <w:shd w:val="clear" w:color="auto" w:fill="FFFFFF"/>
        </w:rPr>
      </w:pPr>
      <w:r w:rsidRPr="00651A12">
        <w:rPr>
          <w:rStyle w:val="apple-style-span"/>
          <w:rFonts w:cs="Times New Roman"/>
          <w:szCs w:val="28"/>
          <w:shd w:val="clear" w:color="auto" w:fill="FFFFFF"/>
        </w:rPr>
        <w:t xml:space="preserve">В итоге </w:t>
      </w:r>
      <w:r w:rsidR="00FF3E64" w:rsidRPr="00651A12">
        <w:rPr>
          <w:rStyle w:val="apple-style-span"/>
          <w:rFonts w:cs="Times New Roman"/>
          <w:szCs w:val="28"/>
          <w:shd w:val="clear" w:color="auto" w:fill="FFFFFF"/>
        </w:rPr>
        <w:t>«Райффайзенбанк» увеличил долю рынка до 2,2% с покупкой «Импэксбанка», что стало рекорд</w:t>
      </w:r>
      <w:r w:rsidR="00462279" w:rsidRPr="00651A12">
        <w:rPr>
          <w:rStyle w:val="apple-style-span"/>
          <w:rFonts w:cs="Times New Roman"/>
          <w:szCs w:val="28"/>
          <w:shd w:val="clear" w:color="auto" w:fill="FFFFFF"/>
        </w:rPr>
        <w:t>ом среди иностранных банков, работающих в России.</w:t>
      </w:r>
      <w:r w:rsidR="00947CAD" w:rsidRPr="00651A12">
        <w:rPr>
          <w:rStyle w:val="apple-style-span"/>
          <w:rFonts w:cs="Times New Roman"/>
          <w:szCs w:val="28"/>
          <w:shd w:val="clear" w:color="auto" w:fill="FFFFFF"/>
        </w:rPr>
        <w:t xml:space="preserve"> </w:t>
      </w:r>
      <w:r w:rsidR="00CA46DD" w:rsidRPr="00651A12">
        <w:rPr>
          <w:rStyle w:val="apple-style-span"/>
          <w:rFonts w:cs="Times New Roman"/>
          <w:szCs w:val="28"/>
          <w:shd w:val="clear" w:color="auto" w:fill="FFFFFF"/>
        </w:rPr>
        <w:t xml:space="preserve">До этого иностранцы покупали лишь банки с меньшей долей рынка и активами. </w:t>
      </w:r>
      <w:r w:rsidR="00947CAD" w:rsidRPr="00651A12">
        <w:rPr>
          <w:rStyle w:val="apple-style-span"/>
          <w:rFonts w:cs="Times New Roman"/>
          <w:szCs w:val="28"/>
          <w:shd w:val="clear" w:color="auto" w:fill="FFFFFF"/>
        </w:rPr>
        <w:t>Эти банки образовали крупнейший банк с иностранным капиталом (7-е место по сумме активов-нетто).</w:t>
      </w:r>
      <w:r w:rsidR="00D17FCE" w:rsidRPr="00651A12">
        <w:rPr>
          <w:rStyle w:val="apple-style-span"/>
          <w:rFonts w:cs="Times New Roman"/>
          <w:szCs w:val="28"/>
          <w:shd w:val="clear" w:color="auto" w:fill="FFFFFF"/>
        </w:rPr>
        <w:t xml:space="preserve"> Однако, приняв решение о развитие банков под одним брэндом, «Райффайзенбанк» лишился лояльности бывших клиентов «Импэксбанка», получив при этом фактически пустую сеть филиалов.</w:t>
      </w:r>
      <w:r w:rsidR="00256C3F" w:rsidRPr="00651A12">
        <w:rPr>
          <w:rStyle w:val="apple-style-span"/>
          <w:rFonts w:cs="Times New Roman"/>
          <w:szCs w:val="28"/>
          <w:shd w:val="clear" w:color="auto" w:fill="FFFFFF"/>
        </w:rPr>
        <w:t xml:space="preserve"> </w:t>
      </w:r>
      <w:r w:rsidR="003C2B13" w:rsidRPr="00651A12">
        <w:rPr>
          <w:rStyle w:val="apple-style-span"/>
          <w:rFonts w:cs="Times New Roman"/>
          <w:szCs w:val="28"/>
          <w:shd w:val="clear" w:color="auto" w:fill="FFFFFF"/>
        </w:rPr>
        <w:t xml:space="preserve">Также по мнению многих аналитиков на тот момент сделка могла оказаться очень неудачной для «Райффайзенбанка» в связи с </w:t>
      </w:r>
      <w:r w:rsidR="00FA3A7D" w:rsidRPr="00651A12">
        <w:rPr>
          <w:rStyle w:val="apple-style-span"/>
          <w:rFonts w:cs="Times New Roman"/>
          <w:szCs w:val="28"/>
          <w:shd w:val="clear" w:color="auto" w:fill="FFFFFF"/>
        </w:rPr>
        <w:t xml:space="preserve">разной структурой клиентской базы в обоих банках. «Импэксбанк» специализировался в основном на кредитовании мелких и средних компаний, что по началу вызывало много вопросов об их кредитоспособности у австрийского банка, который привык строить свой бизнес по европейским стандартам. Так что данная сделка в итоге была связана с высоким риском, </w:t>
      </w:r>
      <w:r w:rsidR="00292388" w:rsidRPr="00651A12">
        <w:rPr>
          <w:rStyle w:val="apple-style-span"/>
          <w:rFonts w:cs="Times New Roman"/>
          <w:szCs w:val="28"/>
          <w:shd w:val="clear" w:color="auto" w:fill="FFFFFF"/>
        </w:rPr>
        <w:t xml:space="preserve">который все-таки оказался оправданным. </w:t>
      </w:r>
      <w:r w:rsidR="00256C3F" w:rsidRPr="00651A12">
        <w:rPr>
          <w:rStyle w:val="apple-style-span"/>
          <w:rFonts w:cs="Times New Roman"/>
          <w:szCs w:val="28"/>
          <w:shd w:val="clear" w:color="auto" w:fill="FFFFFF"/>
        </w:rPr>
        <w:t xml:space="preserve">Но видимо, затраты на консолидацию бизнесов акционеры оценили гораздо ниже, чем финансовые и временные затраты по организации филиальной сети </w:t>
      </w:r>
      <w:r w:rsidR="00292388" w:rsidRPr="00651A12">
        <w:rPr>
          <w:rStyle w:val="apple-style-span"/>
          <w:rFonts w:cs="Times New Roman"/>
          <w:szCs w:val="28"/>
          <w:shd w:val="clear" w:color="auto" w:fill="FFFFFF"/>
        </w:rPr>
        <w:t>аналогичного масштаба, а также наполнения этой сети своим бизнесом.</w:t>
      </w:r>
    </w:p>
    <w:p w14:paraId="61363CB1" w14:textId="7399FCEC" w:rsidR="00B40749" w:rsidRPr="00651A12" w:rsidRDefault="00040055"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r w:rsidRPr="00651A12">
        <w:rPr>
          <w:rStyle w:val="apple-style-span"/>
          <w:rFonts w:ascii="Times New Roman" w:hAnsi="Times New Roman" w:cs="Times New Roman"/>
          <w:sz w:val="28"/>
          <w:szCs w:val="28"/>
          <w:shd w:val="clear" w:color="auto" w:fill="FFFFFF"/>
        </w:rPr>
        <w:t>Таким образом, анализ сделки по поглощению «Райффайзенбанком» росси</w:t>
      </w:r>
      <w:r w:rsidR="00A01ACF" w:rsidRPr="00651A12">
        <w:rPr>
          <w:rStyle w:val="apple-style-span"/>
          <w:rFonts w:ascii="Times New Roman" w:hAnsi="Times New Roman" w:cs="Times New Roman"/>
          <w:sz w:val="28"/>
          <w:szCs w:val="28"/>
          <w:shd w:val="clear" w:color="auto" w:fill="FFFFFF"/>
        </w:rPr>
        <w:t>йской кредитной организации «Им</w:t>
      </w:r>
      <w:r w:rsidRPr="00651A12">
        <w:rPr>
          <w:rStyle w:val="apple-style-span"/>
          <w:rFonts w:ascii="Times New Roman" w:hAnsi="Times New Roman" w:cs="Times New Roman"/>
          <w:sz w:val="28"/>
          <w:szCs w:val="28"/>
          <w:shd w:val="clear" w:color="auto" w:fill="FFFFFF"/>
        </w:rPr>
        <w:t>пэксбанк» показал, что австрийский банк выбрал оптимальную стратегию экспансии на российский рынок, который помог сэкономить ему много времени, которое потребовалось бы на развитие собственной сети.</w:t>
      </w:r>
      <w:r w:rsidR="00425468" w:rsidRPr="00651A12">
        <w:rPr>
          <w:rStyle w:val="apple-style-span"/>
          <w:rFonts w:ascii="Times New Roman" w:hAnsi="Times New Roman" w:cs="Times New Roman"/>
          <w:sz w:val="28"/>
          <w:szCs w:val="28"/>
          <w:shd w:val="clear" w:color="auto" w:fill="FFFFFF"/>
        </w:rPr>
        <w:t xml:space="preserve"> То есть говоря об оптимальном способе экспансии и выходе на зарубежные рынки</w:t>
      </w:r>
      <w:r w:rsidR="00830733" w:rsidRPr="00651A12">
        <w:rPr>
          <w:rStyle w:val="apple-style-span"/>
          <w:rFonts w:ascii="Times New Roman" w:hAnsi="Times New Roman" w:cs="Times New Roman"/>
          <w:sz w:val="28"/>
          <w:szCs w:val="28"/>
          <w:shd w:val="clear" w:color="auto" w:fill="FFFFFF"/>
        </w:rPr>
        <w:t xml:space="preserve"> в банковском секторе</w:t>
      </w:r>
      <w:r w:rsidR="00425468" w:rsidRPr="00651A12">
        <w:rPr>
          <w:rStyle w:val="apple-style-span"/>
          <w:rFonts w:ascii="Times New Roman" w:hAnsi="Times New Roman" w:cs="Times New Roman"/>
          <w:sz w:val="28"/>
          <w:szCs w:val="28"/>
          <w:shd w:val="clear" w:color="auto" w:fill="FFFFFF"/>
        </w:rPr>
        <w:t xml:space="preserve">, удалось определить что, использование инструментов слияний и поглощений </w:t>
      </w:r>
      <w:r w:rsidR="00830733" w:rsidRPr="00651A12">
        <w:rPr>
          <w:rStyle w:val="apple-style-span"/>
          <w:rFonts w:ascii="Times New Roman" w:hAnsi="Times New Roman" w:cs="Times New Roman"/>
          <w:sz w:val="28"/>
          <w:szCs w:val="28"/>
          <w:shd w:val="clear" w:color="auto" w:fill="FFFFFF"/>
        </w:rPr>
        <w:t>является наиболее верным решением для банков.</w:t>
      </w:r>
      <w:r w:rsidR="00901955" w:rsidRPr="00651A12">
        <w:rPr>
          <w:rStyle w:val="FootnoteReference"/>
          <w:rFonts w:ascii="Times New Roman" w:hAnsi="Times New Roman" w:cs="Times New Roman"/>
          <w:sz w:val="28"/>
          <w:szCs w:val="28"/>
          <w:shd w:val="clear" w:color="auto" w:fill="FFFFFF"/>
        </w:rPr>
        <w:footnoteReference w:id="69"/>
      </w:r>
    </w:p>
    <w:p w14:paraId="34D9F6FD" w14:textId="77777777" w:rsidR="006053BC" w:rsidRPr="00651A12" w:rsidRDefault="006053BC"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28E50E32" w14:textId="77777777" w:rsidR="006053BC" w:rsidRPr="00651A12" w:rsidRDefault="006053BC"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765E562C" w14:textId="77777777" w:rsidR="006053BC" w:rsidRPr="00651A12" w:rsidRDefault="006053BC"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1C1CD72A" w14:textId="77777777" w:rsidR="006053BC" w:rsidRPr="00651A12" w:rsidRDefault="006053BC"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19771F6E" w14:textId="77777777" w:rsidR="006053BC" w:rsidRPr="00651A12" w:rsidRDefault="006053BC" w:rsidP="006828FC">
      <w:pPr>
        <w:pStyle w:val="NoSpacing"/>
        <w:spacing w:line="360" w:lineRule="auto"/>
        <w:ind w:right="-1" w:firstLine="284"/>
        <w:jc w:val="both"/>
        <w:rPr>
          <w:rStyle w:val="apple-style-span"/>
          <w:rFonts w:ascii="Times New Roman" w:hAnsi="Times New Roman" w:cs="Times New Roman"/>
          <w:sz w:val="28"/>
          <w:szCs w:val="28"/>
          <w:shd w:val="clear" w:color="auto" w:fill="FFFFFF"/>
        </w:rPr>
      </w:pPr>
    </w:p>
    <w:p w14:paraId="77678D2B" w14:textId="77777777" w:rsidR="00792358" w:rsidRPr="00651A12" w:rsidRDefault="00792358" w:rsidP="006828FC">
      <w:pPr>
        <w:pStyle w:val="NoSpacing"/>
        <w:spacing w:line="360" w:lineRule="auto"/>
        <w:ind w:right="-1" w:firstLine="284"/>
        <w:jc w:val="both"/>
        <w:rPr>
          <w:rStyle w:val="apple-style-span"/>
          <w:rFonts w:ascii="Times New Roman" w:hAnsi="Times New Roman" w:cs="Times New Roman"/>
          <w:b/>
          <w:sz w:val="28"/>
          <w:szCs w:val="28"/>
          <w:shd w:val="clear" w:color="auto" w:fill="FFFFFF"/>
        </w:rPr>
      </w:pPr>
      <w:r w:rsidRPr="00651A12">
        <w:rPr>
          <w:rStyle w:val="apple-style-span"/>
          <w:rFonts w:ascii="Times New Roman" w:hAnsi="Times New Roman" w:cs="Times New Roman"/>
          <w:b/>
          <w:sz w:val="28"/>
          <w:szCs w:val="28"/>
          <w:shd w:val="clear" w:color="auto" w:fill="FFFFFF"/>
        </w:rPr>
        <w:t>Заключение</w:t>
      </w:r>
    </w:p>
    <w:p w14:paraId="11E426AE" w14:textId="77777777" w:rsidR="00A878DF" w:rsidRPr="00651A12" w:rsidRDefault="004426E0" w:rsidP="006828FC">
      <w:pPr>
        <w:spacing w:line="360" w:lineRule="auto"/>
        <w:ind w:right="-1" w:firstLine="284"/>
        <w:jc w:val="both"/>
        <w:rPr>
          <w:rFonts w:cs="Times New Roman"/>
          <w:szCs w:val="28"/>
        </w:rPr>
      </w:pPr>
      <w:r w:rsidRPr="00651A12">
        <w:rPr>
          <w:rFonts w:cs="Times New Roman"/>
          <w:szCs w:val="28"/>
        </w:rPr>
        <w:t xml:space="preserve">В ходе данного исследования были </w:t>
      </w:r>
      <w:r w:rsidR="00A878DF" w:rsidRPr="00651A12">
        <w:rPr>
          <w:rFonts w:cs="Times New Roman"/>
          <w:szCs w:val="28"/>
        </w:rPr>
        <w:t>решены все поставленные задачи. В первой главе у</w:t>
      </w:r>
      <w:r w:rsidRPr="00651A12">
        <w:rPr>
          <w:rFonts w:cs="Times New Roman"/>
          <w:szCs w:val="28"/>
        </w:rPr>
        <w:t xml:space="preserve">далось определить сущность использования инструментов слияний и поглощений в качестве стратегии иностранных банков по выходу на зарубежный рынок, а также изучить классификацию, типы и мотивы активизации подобных сделок как на российском, так и на мировом финансовом рынке. </w:t>
      </w:r>
      <w:r w:rsidR="00A878DF" w:rsidRPr="00651A12">
        <w:rPr>
          <w:rFonts w:cs="Times New Roman"/>
          <w:szCs w:val="28"/>
        </w:rPr>
        <w:t>Во второй части работы б</w:t>
      </w:r>
      <w:r w:rsidR="00830070" w:rsidRPr="00651A12">
        <w:rPr>
          <w:rFonts w:cs="Times New Roman"/>
          <w:szCs w:val="28"/>
        </w:rPr>
        <w:t xml:space="preserve">ыли также рассмотрены последние тенденции на рынке слияний и поглощений </w:t>
      </w:r>
      <w:r w:rsidR="009B5579" w:rsidRPr="00651A12">
        <w:rPr>
          <w:rFonts w:cs="Times New Roman"/>
          <w:szCs w:val="28"/>
        </w:rPr>
        <w:t xml:space="preserve">в целом, а также конкретно </w:t>
      </w:r>
      <w:r w:rsidR="00830070" w:rsidRPr="00651A12">
        <w:rPr>
          <w:rFonts w:cs="Times New Roman"/>
          <w:szCs w:val="28"/>
        </w:rPr>
        <w:t xml:space="preserve">в </w:t>
      </w:r>
      <w:r w:rsidR="00A878DF" w:rsidRPr="00651A12">
        <w:rPr>
          <w:rFonts w:cs="Times New Roman"/>
          <w:szCs w:val="28"/>
        </w:rPr>
        <w:t>банковском</w:t>
      </w:r>
      <w:r w:rsidR="009B5579" w:rsidRPr="00651A12">
        <w:rPr>
          <w:rFonts w:cs="Times New Roman"/>
          <w:szCs w:val="28"/>
        </w:rPr>
        <w:t xml:space="preserve"> секторе России, которые показали, что не смотря на общую тенденцию к уменьшению количества банков, растет число кредитных организаций с иностранным участием. Данный факт говорит о стремлении иностранных инвесторов к развитию на новых рынках и сегментах не смотря на общие трудности в отрасли.</w:t>
      </w:r>
      <w:r w:rsidR="00A878DF" w:rsidRPr="00651A12">
        <w:rPr>
          <w:rFonts w:cs="Times New Roman"/>
          <w:szCs w:val="28"/>
        </w:rPr>
        <w:t xml:space="preserve"> </w:t>
      </w:r>
    </w:p>
    <w:p w14:paraId="5E7D07F8" w14:textId="78ACAE02" w:rsidR="00A878DF" w:rsidRPr="00651A12" w:rsidRDefault="00A878DF" w:rsidP="006828FC">
      <w:pPr>
        <w:spacing w:line="360" w:lineRule="auto"/>
        <w:ind w:right="-1" w:firstLine="284"/>
        <w:jc w:val="both"/>
        <w:rPr>
          <w:rFonts w:cs="Times New Roman"/>
          <w:szCs w:val="28"/>
        </w:rPr>
      </w:pPr>
      <w:r w:rsidRPr="00651A12">
        <w:rPr>
          <w:rFonts w:cs="Times New Roman"/>
          <w:szCs w:val="28"/>
        </w:rPr>
        <w:t>В результате проведенного анализа российского банковского рынка, было выявлено что сейчас происходит активный рост розничного сегмента, который сопровождается серьезным увеличением числа отделений банков на территории России. Это подчеркивает необходимость использования активной фазы экспансии иностранными банками, потому что осуществление постепенного входа на рынок является довольно затратным занятием, которое не приносит достаточной прибыли в начале, когда известность и представленность бренда иностранного банка невелика.</w:t>
      </w:r>
    </w:p>
    <w:p w14:paraId="7A54E7B8" w14:textId="139C89E6" w:rsidR="00CE7C23" w:rsidRPr="00651A12" w:rsidRDefault="009B5579" w:rsidP="006828FC">
      <w:pPr>
        <w:spacing w:line="360" w:lineRule="auto"/>
        <w:ind w:right="-1" w:firstLine="284"/>
        <w:jc w:val="both"/>
        <w:rPr>
          <w:rFonts w:cs="Times New Roman"/>
          <w:szCs w:val="28"/>
        </w:rPr>
      </w:pPr>
      <w:r w:rsidRPr="00651A12">
        <w:rPr>
          <w:rFonts w:cs="Times New Roman"/>
          <w:szCs w:val="28"/>
        </w:rPr>
        <w:t xml:space="preserve"> </w:t>
      </w:r>
      <w:r w:rsidR="00A878DF" w:rsidRPr="00651A12">
        <w:rPr>
          <w:rFonts w:cs="Times New Roman"/>
          <w:szCs w:val="28"/>
        </w:rPr>
        <w:t>Также с</w:t>
      </w:r>
      <w:r w:rsidRPr="00651A12">
        <w:rPr>
          <w:rFonts w:cs="Times New Roman"/>
          <w:szCs w:val="28"/>
        </w:rPr>
        <w:t xml:space="preserve">огласно проанализированной статистике и </w:t>
      </w:r>
      <w:r w:rsidR="00A878DF" w:rsidRPr="00651A12">
        <w:rPr>
          <w:rFonts w:cs="Times New Roman"/>
          <w:szCs w:val="28"/>
        </w:rPr>
        <w:t>рассмотренному примеру одного из наиболее крупных слияний на российском банковском рынке</w:t>
      </w:r>
      <w:r w:rsidRPr="00651A12">
        <w:rPr>
          <w:rFonts w:cs="Times New Roman"/>
          <w:szCs w:val="28"/>
        </w:rPr>
        <w:t xml:space="preserve">, </w:t>
      </w:r>
      <w:r w:rsidR="00A878DF" w:rsidRPr="00651A12">
        <w:rPr>
          <w:rFonts w:cs="Times New Roman"/>
          <w:szCs w:val="28"/>
        </w:rPr>
        <w:t xml:space="preserve">удалось определить, что </w:t>
      </w:r>
      <w:r w:rsidRPr="00651A12">
        <w:rPr>
          <w:rFonts w:cs="Times New Roman"/>
          <w:szCs w:val="28"/>
        </w:rPr>
        <w:t xml:space="preserve">использование инструментов слияний и поглощений видится иностранным банкам наиболее оптимальной стратегией к экспансии на новые рынки. </w:t>
      </w:r>
      <w:r w:rsidR="00A878DF" w:rsidRPr="00651A12">
        <w:rPr>
          <w:rFonts w:cs="Times New Roman"/>
          <w:szCs w:val="28"/>
        </w:rPr>
        <w:t xml:space="preserve">Осуществление подобной сделки хоть </w:t>
      </w:r>
      <w:r w:rsidR="00CE7C23" w:rsidRPr="00651A12">
        <w:rPr>
          <w:rFonts w:cs="Times New Roman"/>
          <w:szCs w:val="28"/>
        </w:rPr>
        <w:t>и обойдется иностранным инвесторам дороже в денежном выражении, но обеспечит резкий вход на рынок, сопровождающийся активным ростом.</w:t>
      </w:r>
      <w:r w:rsidR="008E0762" w:rsidRPr="00651A12">
        <w:rPr>
          <w:rFonts w:cs="Times New Roman"/>
          <w:szCs w:val="28"/>
        </w:rPr>
        <w:t xml:space="preserve"> Конечно, необходимо учитывать все риски при вхождении на новый рынок и подобрать правильную стратегию развития. Нужно также принимать решение об экспансии на зарубежный рынок только в том случае, когда у иностранного банка имеется четко отлаженная стратегия </w:t>
      </w:r>
      <w:r w:rsidR="00FD1284" w:rsidRPr="00651A12">
        <w:rPr>
          <w:rFonts w:cs="Times New Roman"/>
          <w:szCs w:val="28"/>
        </w:rPr>
        <w:t xml:space="preserve">в головном офисе и </w:t>
      </w:r>
      <w:r w:rsidR="008E0762" w:rsidRPr="00651A12">
        <w:rPr>
          <w:rFonts w:cs="Times New Roman"/>
          <w:szCs w:val="28"/>
        </w:rPr>
        <w:t>отсутствуют</w:t>
      </w:r>
      <w:r w:rsidR="00FD1284" w:rsidRPr="00651A12">
        <w:rPr>
          <w:rFonts w:cs="Times New Roman"/>
          <w:szCs w:val="28"/>
        </w:rPr>
        <w:t xml:space="preserve"> какие-либо</w:t>
      </w:r>
      <w:r w:rsidR="008E0762" w:rsidRPr="00651A12">
        <w:rPr>
          <w:rFonts w:cs="Times New Roman"/>
          <w:szCs w:val="28"/>
        </w:rPr>
        <w:t xml:space="preserve"> проблемы, </w:t>
      </w:r>
      <w:r w:rsidR="00FD1284" w:rsidRPr="00651A12">
        <w:rPr>
          <w:rFonts w:cs="Times New Roman"/>
          <w:szCs w:val="28"/>
        </w:rPr>
        <w:t>потому что осуществление политики двустороннего управления в дальнейшем станет серьезной трудностью.</w:t>
      </w:r>
      <w:r w:rsidR="008E0762" w:rsidRPr="00651A12">
        <w:rPr>
          <w:rFonts w:cs="Times New Roman"/>
          <w:szCs w:val="28"/>
        </w:rPr>
        <w:t xml:space="preserve"> В противном </w:t>
      </w:r>
      <w:r w:rsidR="00FD1284" w:rsidRPr="00651A12">
        <w:rPr>
          <w:rFonts w:cs="Times New Roman"/>
          <w:szCs w:val="28"/>
        </w:rPr>
        <w:t xml:space="preserve">же </w:t>
      </w:r>
      <w:r w:rsidR="008E0762" w:rsidRPr="00651A12">
        <w:rPr>
          <w:rFonts w:cs="Times New Roman"/>
          <w:szCs w:val="28"/>
        </w:rPr>
        <w:t xml:space="preserve">случае подобная экспансии завершится </w:t>
      </w:r>
      <w:r w:rsidR="00FD1284" w:rsidRPr="00651A12">
        <w:rPr>
          <w:rFonts w:cs="Times New Roman"/>
          <w:szCs w:val="28"/>
        </w:rPr>
        <w:t xml:space="preserve">только </w:t>
      </w:r>
      <w:r w:rsidR="008E0762" w:rsidRPr="00651A12">
        <w:rPr>
          <w:rFonts w:cs="Times New Roman"/>
          <w:szCs w:val="28"/>
        </w:rPr>
        <w:t xml:space="preserve">провалом, и банк будет вынужден уйти с </w:t>
      </w:r>
      <w:r w:rsidR="00FD1284" w:rsidRPr="00651A12">
        <w:rPr>
          <w:rFonts w:cs="Times New Roman"/>
          <w:szCs w:val="28"/>
        </w:rPr>
        <w:t xml:space="preserve">нового </w:t>
      </w:r>
      <w:r w:rsidR="008E0762" w:rsidRPr="00651A12">
        <w:rPr>
          <w:rFonts w:cs="Times New Roman"/>
          <w:szCs w:val="28"/>
        </w:rPr>
        <w:t>рынка.</w:t>
      </w:r>
    </w:p>
    <w:p w14:paraId="6FA2966F" w14:textId="4C837602" w:rsidR="00292D3E" w:rsidRPr="00651A12" w:rsidRDefault="00CE7C23" w:rsidP="006828FC">
      <w:pPr>
        <w:spacing w:line="360" w:lineRule="auto"/>
        <w:ind w:right="-1" w:firstLine="284"/>
        <w:jc w:val="both"/>
        <w:rPr>
          <w:rFonts w:cs="Times New Roman"/>
          <w:szCs w:val="28"/>
        </w:rPr>
      </w:pPr>
      <w:r w:rsidRPr="00651A12">
        <w:rPr>
          <w:rFonts w:cs="Times New Roman"/>
          <w:szCs w:val="28"/>
        </w:rPr>
        <w:t xml:space="preserve"> А</w:t>
      </w:r>
      <w:r w:rsidR="009C456A" w:rsidRPr="00651A12">
        <w:rPr>
          <w:rFonts w:cs="Times New Roman"/>
          <w:szCs w:val="28"/>
        </w:rPr>
        <w:t xml:space="preserve">нализ процессов экспансии иностранных банков и инвестиционного капитала на российский финансовый рынок </w:t>
      </w:r>
      <w:r w:rsidR="008E0762" w:rsidRPr="00651A12">
        <w:rPr>
          <w:rFonts w:cs="Times New Roman"/>
          <w:szCs w:val="28"/>
        </w:rPr>
        <w:t xml:space="preserve">также </w:t>
      </w:r>
      <w:r w:rsidR="009C456A" w:rsidRPr="00651A12">
        <w:rPr>
          <w:rFonts w:cs="Times New Roman"/>
          <w:szCs w:val="28"/>
        </w:rPr>
        <w:t>показал, что сделки по слияниям и поглощениям имеют позитивное влияние на всю банковскую систему</w:t>
      </w:r>
      <w:r w:rsidR="00292D3E" w:rsidRPr="00651A12">
        <w:rPr>
          <w:rFonts w:cs="Times New Roman"/>
          <w:szCs w:val="28"/>
        </w:rPr>
        <w:t xml:space="preserve"> при текущих рыночных условиях, но только до определенного предела. Данные процессы могут решить проблему недостатка кредитоспособности в России, особенно долгосрочных финансовых ресурсов, а также увеличить предложение</w:t>
      </w:r>
      <w:r w:rsidR="008E0762" w:rsidRPr="00651A12">
        <w:rPr>
          <w:rFonts w:cs="Times New Roman"/>
          <w:szCs w:val="28"/>
        </w:rPr>
        <w:t xml:space="preserve"> банковских услуг для населения. </w:t>
      </w:r>
      <w:r w:rsidR="00292D3E" w:rsidRPr="00651A12">
        <w:rPr>
          <w:rFonts w:cs="Times New Roman"/>
          <w:szCs w:val="28"/>
        </w:rPr>
        <w:t>Иностранные банки могут также внедрять новые технологии и услуги, которые были слабо представлены или не представлены вообще до их экспансии. Таким образом, все эти факторы говорят о позитивном влиянии присутствия иностранных банков в России. Однако, в то же время есть риск потери национального контроля над банковской и финансовой системой России, а также возможного оттока капитала из России в другие международные финансовые рынки.</w:t>
      </w:r>
    </w:p>
    <w:p w14:paraId="4DBFB208" w14:textId="25CD57EC" w:rsidR="005524AC" w:rsidRPr="00651A12" w:rsidRDefault="00292D3E" w:rsidP="006828FC">
      <w:pPr>
        <w:spacing w:line="360" w:lineRule="auto"/>
        <w:ind w:right="-1" w:firstLine="284"/>
        <w:jc w:val="both"/>
        <w:rPr>
          <w:rFonts w:cs="Times New Roman"/>
          <w:szCs w:val="28"/>
        </w:rPr>
      </w:pPr>
      <w:r w:rsidRPr="00651A12">
        <w:rPr>
          <w:rFonts w:cs="Times New Roman"/>
          <w:szCs w:val="28"/>
        </w:rPr>
        <w:t>В заключение можно отметить, что очень важно подготовить российский банковский сектор к будущим сделкам по слияниям и поглощениям, так как все это необходимо для будущего вовлечения российских банков в глобальную финансовую систему во времена текущей глобализации мировой экономики и экспансии мно</w:t>
      </w:r>
      <w:r w:rsidR="00A878DF" w:rsidRPr="00651A12">
        <w:rPr>
          <w:rFonts w:cs="Times New Roman"/>
          <w:szCs w:val="28"/>
        </w:rPr>
        <w:t>гих национальных корпораций на зарубежные</w:t>
      </w:r>
      <w:r w:rsidRPr="00651A12">
        <w:rPr>
          <w:rFonts w:cs="Times New Roman"/>
          <w:szCs w:val="28"/>
        </w:rPr>
        <w:t xml:space="preserve"> рынки.</w:t>
      </w:r>
    </w:p>
    <w:p w14:paraId="52F5A579" w14:textId="77777777" w:rsidR="006053BC" w:rsidRPr="00651A12" w:rsidRDefault="006053BC" w:rsidP="006053BC">
      <w:pPr>
        <w:spacing w:line="360" w:lineRule="auto"/>
        <w:ind w:right="-1"/>
        <w:jc w:val="both"/>
        <w:rPr>
          <w:rFonts w:cs="Times New Roman"/>
          <w:szCs w:val="28"/>
        </w:rPr>
      </w:pPr>
    </w:p>
    <w:p w14:paraId="09FD8925" w14:textId="77777777" w:rsidR="006053BC" w:rsidRPr="00651A12" w:rsidRDefault="006053BC" w:rsidP="006053BC">
      <w:pPr>
        <w:spacing w:line="360" w:lineRule="auto"/>
        <w:ind w:right="-1"/>
        <w:jc w:val="both"/>
        <w:rPr>
          <w:rFonts w:cs="Times New Roman"/>
          <w:szCs w:val="28"/>
        </w:rPr>
      </w:pPr>
    </w:p>
    <w:p w14:paraId="0082BEA2" w14:textId="77777777" w:rsidR="000B22F9" w:rsidRPr="00651A12" w:rsidRDefault="000B22F9" w:rsidP="006828FC">
      <w:pPr>
        <w:spacing w:line="360" w:lineRule="auto"/>
        <w:ind w:right="-1" w:firstLine="284"/>
        <w:jc w:val="both"/>
        <w:rPr>
          <w:rFonts w:cs="Times New Roman"/>
          <w:szCs w:val="28"/>
        </w:rPr>
      </w:pPr>
    </w:p>
    <w:p w14:paraId="2754A6E2" w14:textId="21AC6305" w:rsidR="004328CC" w:rsidRPr="00651A12" w:rsidRDefault="004328CC" w:rsidP="002A1FA8">
      <w:pPr>
        <w:spacing w:before="0" w:line="360" w:lineRule="auto"/>
        <w:ind w:right="-1"/>
        <w:jc w:val="both"/>
        <w:rPr>
          <w:rFonts w:cs="Times New Roman"/>
          <w:szCs w:val="28"/>
          <w:u w:val="single"/>
        </w:rPr>
      </w:pPr>
      <w:r w:rsidRPr="00651A12">
        <w:rPr>
          <w:rFonts w:cs="Times New Roman"/>
          <w:szCs w:val="28"/>
        </w:rPr>
        <w:t xml:space="preserve"> </w:t>
      </w:r>
    </w:p>
    <w:sectPr w:rsidR="004328CC" w:rsidRPr="00651A12" w:rsidSect="006828FC">
      <w:footerReference w:type="even" r:id="rId20"/>
      <w:foot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BA4BA" w14:textId="77777777" w:rsidR="002A1FA8" w:rsidRDefault="002A1FA8" w:rsidP="00E21F7E">
      <w:pPr>
        <w:spacing w:before="0" w:after="0" w:line="240" w:lineRule="auto"/>
      </w:pPr>
      <w:r>
        <w:separator/>
      </w:r>
    </w:p>
  </w:endnote>
  <w:endnote w:type="continuationSeparator" w:id="0">
    <w:p w14:paraId="4FB570DD" w14:textId="77777777" w:rsidR="002A1FA8" w:rsidRDefault="002A1FA8" w:rsidP="00E21F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8131" w14:textId="77777777" w:rsidR="002A1FA8" w:rsidRDefault="002A1FA8" w:rsidP="00682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0BFDF" w14:textId="77777777" w:rsidR="002A1FA8" w:rsidRDefault="002A1FA8" w:rsidP="006828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02A3B" w14:textId="77777777" w:rsidR="002A1FA8" w:rsidRDefault="002A1FA8" w:rsidP="00682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A12">
      <w:rPr>
        <w:rStyle w:val="PageNumber"/>
        <w:noProof/>
      </w:rPr>
      <w:t>43</w:t>
    </w:r>
    <w:r>
      <w:rPr>
        <w:rStyle w:val="PageNumber"/>
      </w:rPr>
      <w:fldChar w:fldCharType="end"/>
    </w:r>
  </w:p>
  <w:p w14:paraId="4741D975" w14:textId="77777777" w:rsidR="002A1FA8" w:rsidRDefault="002A1FA8" w:rsidP="006828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68F6A" w14:textId="77777777" w:rsidR="002A1FA8" w:rsidRDefault="002A1FA8" w:rsidP="00E21F7E">
      <w:pPr>
        <w:spacing w:before="0" w:after="0" w:line="240" w:lineRule="auto"/>
      </w:pPr>
      <w:r>
        <w:separator/>
      </w:r>
    </w:p>
  </w:footnote>
  <w:footnote w:type="continuationSeparator" w:id="0">
    <w:p w14:paraId="695832C0" w14:textId="77777777" w:rsidR="002A1FA8" w:rsidRDefault="002A1FA8" w:rsidP="00E21F7E">
      <w:pPr>
        <w:spacing w:before="0" w:after="0" w:line="240" w:lineRule="auto"/>
      </w:pPr>
      <w:r>
        <w:continuationSeparator/>
      </w:r>
    </w:p>
  </w:footnote>
  <w:footnote w:id="1">
    <w:p w14:paraId="763573C6" w14:textId="51C859AC"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Баранников А.Л. Слияния и поглощения в системе современной экономики. - М.: РАГС, 2010, 182 с.</w:t>
      </w:r>
    </w:p>
  </w:footnote>
  <w:footnote w:id="2">
    <w:p w14:paraId="39CBA685" w14:textId="1D538E49"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Бегаева А.А. Корпоративные слияния и поглощения: проблемы и перспективы правового регулирования. - М.:Инфотропик Медиа, 2010, 249 с.</w:t>
      </w:r>
    </w:p>
  </w:footnote>
  <w:footnote w:id="3">
    <w:p w14:paraId="53083CFC" w14:textId="77777777" w:rsidR="002A1FA8" w:rsidRPr="006053BC" w:rsidRDefault="002A1FA8" w:rsidP="006053BC">
      <w:pPr>
        <w:pStyle w:val="NoSpacing"/>
        <w:rPr>
          <w:rFonts w:ascii="Times New Roman" w:hAnsi="Times New Roman" w:cs="Times New Roman"/>
          <w:sz w:val="24"/>
          <w:szCs w:val="24"/>
          <w:lang w:val="en-US"/>
        </w:rPr>
      </w:pPr>
    </w:p>
  </w:footnote>
  <w:footnote w:id="4">
    <w:p w14:paraId="0C5B2328" w14:textId="77777777"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Т. Гранди. Слияния и поглощения. Как предотвратить разрушение корпоративной стоимости, приобретая новый бизнес. - М.: Эксмо, 2008. 240 с.</w:t>
      </w:r>
    </w:p>
    <w:p w14:paraId="7C42D69F" w14:textId="0045AF1A" w:rsidR="002A1FA8" w:rsidRPr="006053BC" w:rsidRDefault="002A1FA8" w:rsidP="006053BC">
      <w:pPr>
        <w:pStyle w:val="NoSpacing"/>
        <w:rPr>
          <w:rFonts w:ascii="Times New Roman" w:hAnsi="Times New Roman" w:cs="Times New Roman"/>
          <w:sz w:val="24"/>
          <w:szCs w:val="24"/>
        </w:rPr>
      </w:pPr>
    </w:p>
  </w:footnote>
  <w:footnote w:id="5">
    <w:p w14:paraId="0801021F" w14:textId="2012FEC7"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Хардинг Д., Роувит С. Искусство слияний и поглощений. Четыре ключевых решения, от которых зависит успех сделки. - М.: Гревцов Паблишер, 2007, 256 с.</w:t>
      </w:r>
    </w:p>
  </w:footnote>
  <w:footnote w:id="6">
    <w:p w14:paraId="69EC7CC3" w14:textId="786D5E1D"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Д. А. Ендовицкий, В. Е. Соболева. Экономический анализ слияния и поглощений компаний. - М.: КноРус, 2008, 448 с.</w:t>
      </w:r>
    </w:p>
  </w:footnote>
  <w:footnote w:id="7">
    <w:p w14:paraId="511073B5" w14:textId="77777777" w:rsidR="002A1FA8" w:rsidRPr="006053BC" w:rsidRDefault="002A1FA8" w:rsidP="006053BC">
      <w:pPr>
        <w:pStyle w:val="NoSpacing"/>
        <w:rPr>
          <w:rStyle w:val="Hyperlink"/>
          <w:rFonts w:ascii="Times New Roman" w:hAnsi="Times New Roman" w:cs="Times New Roman"/>
          <w:color w:val="auto"/>
          <w:sz w:val="24"/>
          <w:szCs w:val="24"/>
          <w:u w:val="none"/>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w:t>
      </w:r>
      <w:r w:rsidRPr="006053BC">
        <w:rPr>
          <w:rFonts w:ascii="Times New Roman" w:hAnsi="Times New Roman" w:cs="Times New Roman"/>
          <w:bCs/>
          <w:sz w:val="24"/>
          <w:szCs w:val="24"/>
          <w:lang w:val="en-US"/>
        </w:rPr>
        <w:t xml:space="preserve">PwC: Decline in banking M&amp;A is a fundamental shift, not just a cyclical downturn // PricewaterhouseCoopers, 2013 - </w:t>
      </w:r>
      <w:hyperlink r:id="rId1" w:history="1">
        <w:r w:rsidRPr="006053BC">
          <w:rPr>
            <w:rStyle w:val="Hyperlink"/>
            <w:rFonts w:ascii="Times New Roman" w:hAnsi="Times New Roman" w:cs="Times New Roman"/>
            <w:bCs/>
            <w:color w:val="auto"/>
            <w:sz w:val="24"/>
            <w:szCs w:val="24"/>
            <w:lang w:val="en-US"/>
          </w:rPr>
          <w:t>http://www.pwc.ru/en/press-releases/2013/banking_m_a_apr_2013.jhtml</w:t>
        </w:r>
      </w:hyperlink>
      <w:r w:rsidRPr="006053BC">
        <w:rPr>
          <w:rStyle w:val="Hyperlink"/>
          <w:rFonts w:ascii="Times New Roman" w:hAnsi="Times New Roman" w:cs="Times New Roman"/>
          <w:bCs/>
          <w:color w:val="auto"/>
          <w:sz w:val="24"/>
          <w:szCs w:val="24"/>
          <w:lang w:val="en-US"/>
        </w:rPr>
        <w:t xml:space="preserve"> </w:t>
      </w:r>
    </w:p>
    <w:p w14:paraId="263A5E5E" w14:textId="2A887C2C" w:rsidR="002A1FA8" w:rsidRPr="006053BC" w:rsidRDefault="002A1FA8" w:rsidP="006053BC">
      <w:pPr>
        <w:pStyle w:val="NoSpacing"/>
        <w:rPr>
          <w:rFonts w:ascii="Times New Roman" w:hAnsi="Times New Roman" w:cs="Times New Roman"/>
          <w:sz w:val="24"/>
          <w:szCs w:val="24"/>
          <w:lang w:val="en-US"/>
        </w:rPr>
      </w:pPr>
    </w:p>
  </w:footnote>
  <w:footnote w:id="8">
    <w:p w14:paraId="7A8A494E" w14:textId="13C4CD32"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Harvard Business Review. Слияния и поглощения. - М.: Юнайтед Пресс, 2007, 154 с.</w:t>
      </w:r>
    </w:p>
  </w:footnote>
  <w:footnote w:id="9">
    <w:p w14:paraId="75759225" w14:textId="1D9087F3"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Горелов В.В. Банковские слияния и поглощения как фактор диверсификации рынка банковских услуг. - М.: Банковские услуги, 2010, №11</w:t>
      </w:r>
    </w:p>
  </w:footnote>
  <w:footnote w:id="10">
    <w:p w14:paraId="68415BB3" w14:textId="08E7A351"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Рид Ст. Ф., Лажу Ал. Р. Искусство слияний и поглощений. - М.: Альпина Паблишер, 2011, 958 с.</w:t>
      </w:r>
    </w:p>
  </w:footnote>
  <w:footnote w:id="11">
    <w:p w14:paraId="31231EF6" w14:textId="0EA7427D"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Эванс Ф.Ч., Бишоп Д. М. Оценка компаний при слияниях и поглощениях. Создание стоимости в частных компаниях. - М.: Альпина Паблишер, 2009, 336 с.</w:t>
      </w:r>
    </w:p>
    <w:p w14:paraId="734D8B2D" w14:textId="6F4B26F9" w:rsidR="002A1FA8" w:rsidRPr="006053BC" w:rsidRDefault="002A1FA8" w:rsidP="006053BC">
      <w:pPr>
        <w:pStyle w:val="NoSpacing"/>
        <w:rPr>
          <w:rFonts w:ascii="Times New Roman" w:hAnsi="Times New Roman" w:cs="Times New Roman"/>
          <w:sz w:val="24"/>
          <w:szCs w:val="24"/>
        </w:rPr>
      </w:pPr>
    </w:p>
    <w:p w14:paraId="2CB67990" w14:textId="2C23C51C" w:rsidR="002A1FA8" w:rsidRPr="006053BC" w:rsidRDefault="002A1FA8" w:rsidP="006053BC">
      <w:pPr>
        <w:pStyle w:val="NoSpacing"/>
        <w:rPr>
          <w:rFonts w:ascii="Times New Roman" w:hAnsi="Times New Roman" w:cs="Times New Roman"/>
          <w:sz w:val="24"/>
          <w:szCs w:val="24"/>
        </w:rPr>
      </w:pPr>
    </w:p>
  </w:footnote>
  <w:footnote w:id="12">
    <w:p w14:paraId="0D7C1DF6" w14:textId="23D0C7D9"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Д. А. Ендовицкий, В. Е. Соболева. Экономический анализ слияния и поглощений компаний. - М.: КноРус, 2008, 448 с.</w:t>
      </w:r>
    </w:p>
    <w:p w14:paraId="318A52B7" w14:textId="24C75106" w:rsidR="002A1FA8" w:rsidRPr="006053BC" w:rsidRDefault="002A1FA8" w:rsidP="006053BC">
      <w:pPr>
        <w:pStyle w:val="NoSpacing"/>
        <w:rPr>
          <w:rFonts w:ascii="Times New Roman" w:hAnsi="Times New Roman" w:cs="Times New Roman"/>
          <w:sz w:val="24"/>
          <w:szCs w:val="24"/>
        </w:rPr>
      </w:pPr>
    </w:p>
  </w:footnote>
  <w:footnote w:id="13">
    <w:p w14:paraId="3773F4AB" w14:textId="7055DDDA"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Амелин И.Э. Консолидация банковского капитала. Теоретические аспекты целесообразности. - М.: Банковское дело, 2011, №5</w:t>
      </w:r>
    </w:p>
  </w:footnote>
  <w:footnote w:id="14">
    <w:p w14:paraId="1F9C8EA7" w14:textId="41AE804F"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Гохан П. Слияния, поглощения и реструктуризация бизнеса. - М.: Альпина Паблишер, 2010, 744 с.</w:t>
      </w:r>
    </w:p>
  </w:footnote>
  <w:footnote w:id="15">
    <w:p w14:paraId="7623D41D" w14:textId="4D2CF3A4"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Пушкин А.В., Гришин К.А. Покупка и продажа бизнеса в России. - М.: Альпина Паблишер, 2011, 256 с.</w:t>
      </w:r>
    </w:p>
  </w:footnote>
  <w:footnote w:id="16">
    <w:p w14:paraId="3CDCA22E" w14:textId="0BCAF5B9"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Гохан П. Слияния, поглощения и реструктуризация бизнеса. - М.: Альпина Паблишер, 2010, 744 с.</w:t>
      </w:r>
    </w:p>
  </w:footnote>
  <w:footnote w:id="17">
    <w:p w14:paraId="0EC02F35" w14:textId="217A1B7A"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Лазуренко В.И., Ломакин Я.Н., Лазуеренко Ю.В. – Рейдерство: слияния и поглощения: Монография. - М.: ТУКБИ, 2009, 232 с.</w:t>
      </w:r>
    </w:p>
  </w:footnote>
  <w:footnote w:id="18">
    <w:p w14:paraId="2A754B61" w14:textId="2725B01D"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Гвардин С.В. Создание добавленной стоимости компании при сделках слияний и поглощений. Российский</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опыт</w:t>
      </w:r>
      <w:r w:rsidRPr="006053BC">
        <w:rPr>
          <w:rFonts w:ascii="Times New Roman" w:hAnsi="Times New Roman" w:cs="Times New Roman"/>
          <w:sz w:val="24"/>
          <w:szCs w:val="24"/>
          <w:lang w:val="en-US"/>
        </w:rPr>
        <w:t xml:space="preserve">. - </w:t>
      </w:r>
      <w:r w:rsidRPr="006053BC">
        <w:rPr>
          <w:rFonts w:ascii="Times New Roman" w:hAnsi="Times New Roman" w:cs="Times New Roman"/>
          <w:sz w:val="24"/>
          <w:szCs w:val="24"/>
        </w:rPr>
        <w:t>М</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Эксмо</w:t>
      </w:r>
      <w:r w:rsidRPr="006053BC">
        <w:rPr>
          <w:rFonts w:ascii="Times New Roman" w:hAnsi="Times New Roman" w:cs="Times New Roman"/>
          <w:sz w:val="24"/>
          <w:szCs w:val="24"/>
          <w:lang w:val="en-US"/>
        </w:rPr>
        <w:t xml:space="preserve">, 2008, 224 </w:t>
      </w:r>
      <w:r w:rsidRPr="006053BC">
        <w:rPr>
          <w:rFonts w:ascii="Times New Roman" w:hAnsi="Times New Roman" w:cs="Times New Roman"/>
          <w:sz w:val="24"/>
          <w:szCs w:val="24"/>
        </w:rPr>
        <w:t>с</w:t>
      </w:r>
      <w:r w:rsidRPr="006053BC">
        <w:rPr>
          <w:rFonts w:ascii="Times New Roman" w:hAnsi="Times New Roman" w:cs="Times New Roman"/>
          <w:sz w:val="24"/>
          <w:szCs w:val="24"/>
          <w:lang w:val="en-US"/>
        </w:rPr>
        <w:t>.</w:t>
      </w:r>
    </w:p>
  </w:footnote>
  <w:footnote w:id="19">
    <w:p w14:paraId="0AC54D42" w14:textId="77777777"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DePamphilis D. Mergers, Acquisitions and Other Restructuring Activites. California, London, Burlington: Elsevier, 2005. </w:t>
      </w:r>
      <w:r w:rsidRPr="006053BC">
        <w:rPr>
          <w:rFonts w:ascii="Times New Roman" w:hAnsi="Times New Roman" w:cs="Times New Roman"/>
          <w:sz w:val="24"/>
          <w:szCs w:val="24"/>
        </w:rPr>
        <w:t>р</w:t>
      </w:r>
      <w:r w:rsidRPr="006053BC">
        <w:rPr>
          <w:rFonts w:ascii="Times New Roman" w:hAnsi="Times New Roman" w:cs="Times New Roman"/>
          <w:sz w:val="24"/>
          <w:szCs w:val="24"/>
          <w:lang w:val="en-US"/>
        </w:rPr>
        <w:t>.606</w:t>
      </w:r>
    </w:p>
    <w:p w14:paraId="6B764AFE" w14:textId="79353F2B" w:rsidR="002A1FA8" w:rsidRPr="006053BC" w:rsidRDefault="002A1FA8" w:rsidP="006053BC">
      <w:pPr>
        <w:pStyle w:val="NoSpacing"/>
        <w:rPr>
          <w:rFonts w:ascii="Times New Roman" w:hAnsi="Times New Roman" w:cs="Times New Roman"/>
          <w:sz w:val="24"/>
          <w:szCs w:val="24"/>
          <w:lang w:val="en-US"/>
        </w:rPr>
      </w:pPr>
    </w:p>
  </w:footnote>
  <w:footnote w:id="20">
    <w:p w14:paraId="2E6F47CC" w14:textId="4E5CDA2D"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Т</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Гранди</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Слияния</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и</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поглощения</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Как предотвратить разрушение корпоративной стоимости, приобретая новый бизнес. - М.: Эксмо, 2008, 240 с.</w:t>
      </w:r>
    </w:p>
  </w:footnote>
  <w:footnote w:id="21">
    <w:p w14:paraId="4C5C537E" w14:textId="5DAADF4B"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Аналитическое издание «Корпоративный менеджмент» </w:t>
      </w:r>
      <w:hyperlink r:id="rId2" w:history="1">
        <w:r w:rsidRPr="006053BC">
          <w:rPr>
            <w:rStyle w:val="Hyperlink"/>
            <w:rFonts w:ascii="Times New Roman" w:hAnsi="Times New Roman" w:cs="Times New Roman"/>
            <w:color w:val="auto"/>
            <w:sz w:val="24"/>
            <w:szCs w:val="24"/>
          </w:rPr>
          <w:t>http://www.cfin.ru/investor/mabanks-0.shtml</w:t>
        </w:r>
      </w:hyperlink>
      <w:r w:rsidRPr="006053BC">
        <w:rPr>
          <w:rFonts w:ascii="Times New Roman" w:hAnsi="Times New Roman" w:cs="Times New Roman"/>
          <w:sz w:val="24"/>
          <w:szCs w:val="24"/>
        </w:rPr>
        <w:t xml:space="preserve"> </w:t>
      </w:r>
    </w:p>
  </w:footnote>
  <w:footnote w:id="22">
    <w:p w14:paraId="09E81EEA" w14:textId="7E5C3E45"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Радыгин А. Российский рынок слияний и поглощений: этапы, особенности, перспективы // Вопросы экономики. Октябрь 2009, № 10, 40 с.</w:t>
      </w:r>
    </w:p>
  </w:footnote>
  <w:footnote w:id="23">
    <w:p w14:paraId="3D766AF4" w14:textId="18B143CC"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Эванс Ф. Ч., Бишоп Д. М. Оценка компаний при слияниях и поглощениях. Создание стоимости в частных компаниях. - М. : Альпина Паблишер, 2009, 336 с.</w:t>
      </w:r>
    </w:p>
    <w:p w14:paraId="497310B3" w14:textId="3F731842" w:rsidR="002A1FA8" w:rsidRPr="006053BC" w:rsidRDefault="002A1FA8" w:rsidP="006053BC">
      <w:pPr>
        <w:pStyle w:val="NoSpacing"/>
        <w:rPr>
          <w:rFonts w:ascii="Times New Roman" w:hAnsi="Times New Roman" w:cs="Times New Roman"/>
          <w:sz w:val="24"/>
          <w:szCs w:val="24"/>
        </w:rPr>
      </w:pPr>
    </w:p>
  </w:footnote>
  <w:footnote w:id="24">
    <w:p w14:paraId="25D397EB" w14:textId="0DD56733"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Депамфилис Д. М. Слияния, поглощения и другие способы реструктуризации компании. - М.: Олимп-Бизнес, 2007. </w:t>
      </w:r>
      <w:r w:rsidRPr="006053BC">
        <w:rPr>
          <w:rFonts w:ascii="Times New Roman" w:hAnsi="Times New Roman" w:cs="Times New Roman"/>
          <w:sz w:val="24"/>
          <w:szCs w:val="24"/>
          <w:lang w:val="en-US"/>
        </w:rPr>
        <w:t xml:space="preserve">960 </w:t>
      </w:r>
      <w:r w:rsidRPr="006053BC">
        <w:rPr>
          <w:rFonts w:ascii="Times New Roman" w:hAnsi="Times New Roman" w:cs="Times New Roman"/>
          <w:sz w:val="24"/>
          <w:szCs w:val="24"/>
        </w:rPr>
        <w:t>с</w:t>
      </w:r>
      <w:r w:rsidRPr="006053BC">
        <w:rPr>
          <w:rFonts w:ascii="Times New Roman" w:hAnsi="Times New Roman" w:cs="Times New Roman"/>
          <w:sz w:val="24"/>
          <w:szCs w:val="24"/>
          <w:lang w:val="en-US"/>
        </w:rPr>
        <w:t>.</w:t>
      </w:r>
    </w:p>
  </w:footnote>
  <w:footnote w:id="25">
    <w:p w14:paraId="58DA32A5" w14:textId="78449920"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Bruce Kiene, David W. Helin, Brad Eckerdt. An Accenture study of cross border M&amp;A in banking // Accenture, 2011 - </w:t>
      </w:r>
      <w:hyperlink r:id="rId3" w:history="1">
        <w:r w:rsidRPr="006053BC">
          <w:rPr>
            <w:rStyle w:val="Hyperlink"/>
            <w:rFonts w:ascii="Times New Roman" w:hAnsi="Times New Roman" w:cs="Times New Roman"/>
            <w:color w:val="auto"/>
            <w:sz w:val="24"/>
            <w:szCs w:val="24"/>
            <w:lang w:val="en-US"/>
          </w:rPr>
          <w:t>http://www.accenture.com/us-en/Pages/service-banking-mergers-acquisitions-summary.aspx</w:t>
        </w:r>
      </w:hyperlink>
      <w:r w:rsidRPr="006053BC">
        <w:rPr>
          <w:rStyle w:val="Hyperlink"/>
          <w:rFonts w:ascii="Times New Roman" w:hAnsi="Times New Roman" w:cs="Times New Roman"/>
          <w:color w:val="auto"/>
          <w:sz w:val="24"/>
          <w:szCs w:val="24"/>
          <w:lang w:val="en-US"/>
        </w:rPr>
        <w:t xml:space="preserve"> </w:t>
      </w:r>
    </w:p>
  </w:footnote>
  <w:footnote w:id="26">
    <w:p w14:paraId="133D18A7" w14:textId="77777777"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Горелов, В. В. Банковские слияния и поглощения как фактор диверсификации рынка банковских услуг. - М.: Банковские услуги, 2010, №11</w:t>
      </w:r>
    </w:p>
    <w:p w14:paraId="045A72AF" w14:textId="0009CE54" w:rsidR="002A1FA8" w:rsidRPr="006053BC" w:rsidRDefault="002A1FA8" w:rsidP="006053BC">
      <w:pPr>
        <w:pStyle w:val="NoSpacing"/>
        <w:rPr>
          <w:rFonts w:ascii="Times New Roman" w:hAnsi="Times New Roman" w:cs="Times New Roman"/>
          <w:sz w:val="24"/>
          <w:szCs w:val="24"/>
        </w:rPr>
      </w:pPr>
    </w:p>
  </w:footnote>
  <w:footnote w:id="27">
    <w:p w14:paraId="15767960" w14:textId="7AB35A28"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Информационное агентство АК&amp;M - </w:t>
      </w:r>
      <w:r w:rsidRPr="006053BC">
        <w:rPr>
          <w:rFonts w:ascii="Times New Roman" w:hAnsi="Times New Roman" w:cs="Times New Roman"/>
          <w:sz w:val="24"/>
          <w:szCs w:val="24"/>
          <w:u w:val="single"/>
        </w:rPr>
        <w:t>http://www.akm.ru/rus/ma/</w:t>
      </w:r>
    </w:p>
  </w:footnote>
  <w:footnote w:id="28">
    <w:p w14:paraId="7B5A9B9A" w14:textId="77777777" w:rsidR="002A1FA8" w:rsidRPr="006053BC" w:rsidRDefault="002A1FA8" w:rsidP="006053BC">
      <w:pPr>
        <w:pStyle w:val="NoSpacing"/>
        <w:rPr>
          <w:rStyle w:val="Hyperlink"/>
          <w:rFonts w:ascii="Times New Roman" w:hAnsi="Times New Roman" w:cs="Times New Roman"/>
          <w:color w:val="auto"/>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РИА Рейтинг - </w:t>
      </w:r>
      <w:hyperlink r:id="rId4" w:history="1">
        <w:r w:rsidRPr="006053BC">
          <w:rPr>
            <w:rStyle w:val="Hyperlink"/>
            <w:rFonts w:ascii="Times New Roman" w:hAnsi="Times New Roman" w:cs="Times New Roman"/>
            <w:color w:val="auto"/>
            <w:sz w:val="24"/>
            <w:szCs w:val="24"/>
          </w:rPr>
          <w:t>http://vid1.rian.ru/ig/ratings/b_banki_12.pdf</w:t>
        </w:r>
      </w:hyperlink>
    </w:p>
    <w:p w14:paraId="252E3E44" w14:textId="48A84B39" w:rsidR="002A1FA8" w:rsidRPr="006053BC" w:rsidRDefault="002A1FA8" w:rsidP="006053BC">
      <w:pPr>
        <w:pStyle w:val="NoSpacing"/>
        <w:rPr>
          <w:rFonts w:ascii="Times New Roman" w:hAnsi="Times New Roman" w:cs="Times New Roman"/>
          <w:sz w:val="24"/>
          <w:szCs w:val="24"/>
          <w:lang w:val="en-US"/>
        </w:rPr>
      </w:pPr>
    </w:p>
  </w:footnote>
  <w:footnote w:id="29">
    <w:p w14:paraId="5D8FFD8E" w14:textId="48121D1B"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Там же</w:t>
      </w:r>
    </w:p>
  </w:footnote>
  <w:footnote w:id="30">
    <w:p w14:paraId="7703CBE2" w14:textId="4D96A259" w:rsidR="002A1FA8" w:rsidRPr="006053BC" w:rsidRDefault="002A1FA8" w:rsidP="006053BC">
      <w:pPr>
        <w:pStyle w:val="NoSpacing"/>
        <w:rPr>
          <w:rFonts w:ascii="Times New Roman" w:hAnsi="Times New Roman" w:cs="Times New Roman"/>
          <w:sz w:val="24"/>
          <w:szCs w:val="24"/>
          <w:u w:val="single"/>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Официальный сайт Федеральной службы государственной статистики - </w:t>
      </w:r>
      <w:hyperlink r:id="rId5" w:history="1">
        <w:r w:rsidRPr="006053BC">
          <w:rPr>
            <w:rStyle w:val="Hyperlink"/>
            <w:rFonts w:ascii="Times New Roman" w:hAnsi="Times New Roman" w:cs="Times New Roman"/>
            <w:color w:val="auto"/>
            <w:sz w:val="24"/>
            <w:szCs w:val="24"/>
          </w:rPr>
          <w:t>www.gks.ru</w:t>
        </w:r>
      </w:hyperlink>
    </w:p>
  </w:footnote>
  <w:footnote w:id="31">
    <w:p w14:paraId="5A0DD34C" w14:textId="60A572E3"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w:t>
      </w:r>
      <w:hyperlink r:id="rId6" w:history="1">
        <w:r w:rsidRPr="006053BC">
          <w:rPr>
            <w:rStyle w:val="Hyperlink"/>
            <w:rFonts w:ascii="Times New Roman" w:hAnsi="Times New Roman" w:cs="Times New Roman"/>
            <w:color w:val="auto"/>
            <w:sz w:val="24"/>
            <w:szCs w:val="24"/>
          </w:rPr>
          <w:t>http://vid1.rian.ru/ig/ratings/b_banki_12.pdf</w:t>
        </w:r>
      </w:hyperlink>
      <w:r w:rsidRPr="006053BC">
        <w:rPr>
          <w:rFonts w:ascii="Times New Roman" w:hAnsi="Times New Roman" w:cs="Times New Roman"/>
          <w:sz w:val="24"/>
          <w:szCs w:val="24"/>
        </w:rPr>
        <w:t xml:space="preserve"> </w:t>
      </w:r>
    </w:p>
  </w:footnote>
  <w:footnote w:id="32">
    <w:p w14:paraId="140C5287" w14:textId="07A4AD2C"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w:t>
      </w:r>
      <w:hyperlink r:id="rId7" w:history="1">
        <w:r w:rsidRPr="006053BC">
          <w:rPr>
            <w:rStyle w:val="Hyperlink"/>
            <w:rFonts w:ascii="Times New Roman" w:hAnsi="Times New Roman" w:cs="Times New Roman"/>
            <w:color w:val="auto"/>
            <w:sz w:val="24"/>
            <w:szCs w:val="24"/>
            <w:u w:val="none"/>
          </w:rPr>
          <w:t>Там же</w:t>
        </w:r>
      </w:hyperlink>
    </w:p>
  </w:footnote>
  <w:footnote w:id="33">
    <w:p w14:paraId="44BE5893" w14:textId="59BAA627" w:rsidR="002A1FA8" w:rsidRPr="006053BC" w:rsidRDefault="002A1FA8" w:rsidP="006053BC">
      <w:pPr>
        <w:pStyle w:val="NoSpacing"/>
        <w:rPr>
          <w:rFonts w:ascii="Times New Roman" w:hAnsi="Times New Roman" w:cs="Times New Roman"/>
          <w:sz w:val="24"/>
          <w:szCs w:val="24"/>
          <w:u w:val="single"/>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Информационный портал banki.ru - </w:t>
      </w:r>
      <w:hyperlink r:id="rId8" w:history="1">
        <w:r w:rsidRPr="006053BC">
          <w:rPr>
            <w:rStyle w:val="Hyperlink"/>
            <w:rFonts w:ascii="Times New Roman" w:hAnsi="Times New Roman" w:cs="Times New Roman"/>
            <w:color w:val="auto"/>
            <w:sz w:val="24"/>
            <w:szCs w:val="24"/>
          </w:rPr>
          <w:t>http://www.banki.ru</w:t>
        </w:r>
      </w:hyperlink>
      <w:r w:rsidRPr="006053BC">
        <w:rPr>
          <w:rFonts w:ascii="Times New Roman" w:hAnsi="Times New Roman" w:cs="Times New Roman"/>
          <w:sz w:val="24"/>
          <w:szCs w:val="24"/>
          <w:u w:val="single"/>
        </w:rPr>
        <w:t xml:space="preserve"> </w:t>
      </w:r>
    </w:p>
  </w:footnote>
  <w:footnote w:id="34">
    <w:p w14:paraId="0A14F480" w14:textId="0887C76A"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Jeff K. Davis. The Outlook for Bank M&amp;A in 2013 // Mercer Capital, February, 2013 - </w:t>
      </w:r>
      <w:hyperlink r:id="rId9" w:history="1">
        <w:r w:rsidRPr="006053BC">
          <w:rPr>
            <w:rStyle w:val="Hyperlink"/>
            <w:rFonts w:ascii="Times New Roman" w:hAnsi="Times New Roman" w:cs="Times New Roman"/>
            <w:color w:val="auto"/>
            <w:sz w:val="24"/>
            <w:szCs w:val="24"/>
            <w:lang w:val="en-US"/>
          </w:rPr>
          <w:t>http://mercercapital.com/the-outlook-for-bank-ma-in-2013/</w:t>
        </w:r>
      </w:hyperlink>
      <w:r w:rsidRPr="006053BC">
        <w:rPr>
          <w:rFonts w:ascii="Times New Roman" w:hAnsi="Times New Roman" w:cs="Times New Roman"/>
          <w:sz w:val="24"/>
          <w:szCs w:val="24"/>
          <w:lang w:val="en-US"/>
        </w:rPr>
        <w:t xml:space="preserve"> </w:t>
      </w:r>
    </w:p>
  </w:footnote>
  <w:footnote w:id="35">
    <w:p w14:paraId="0492B5EB" w14:textId="2E1D8604"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Информационное агентство АК&amp;M - </w:t>
      </w:r>
      <w:r w:rsidRPr="006053BC">
        <w:rPr>
          <w:rFonts w:ascii="Times New Roman" w:hAnsi="Times New Roman" w:cs="Times New Roman"/>
          <w:sz w:val="24"/>
          <w:szCs w:val="24"/>
          <w:u w:val="single"/>
        </w:rPr>
        <w:t>http://www.akm.ru/rus/ma/</w:t>
      </w:r>
    </w:p>
  </w:footnote>
  <w:footnote w:id="36">
    <w:p w14:paraId="6265D455" w14:textId="696AEE14"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Депамфилис Д. Слияния, поглощения и другие способы реструктуризации компании. М</w:t>
      </w:r>
      <w:r w:rsidRPr="006053BC">
        <w:rPr>
          <w:rFonts w:ascii="Times New Roman" w:hAnsi="Times New Roman" w:cs="Times New Roman"/>
          <w:sz w:val="24"/>
          <w:szCs w:val="24"/>
          <w:lang w:val="en-US"/>
        </w:rPr>
        <w:t xml:space="preserve">.: </w:t>
      </w:r>
      <w:r w:rsidRPr="006053BC">
        <w:rPr>
          <w:rFonts w:ascii="Times New Roman" w:hAnsi="Times New Roman" w:cs="Times New Roman"/>
          <w:sz w:val="24"/>
          <w:szCs w:val="24"/>
        </w:rPr>
        <w:t>Олимп</w:t>
      </w:r>
      <w:r w:rsidRPr="006053BC">
        <w:rPr>
          <w:rFonts w:ascii="Times New Roman" w:hAnsi="Times New Roman" w:cs="Times New Roman"/>
          <w:sz w:val="24"/>
          <w:szCs w:val="24"/>
          <w:lang w:val="en-US"/>
        </w:rPr>
        <w:t>-</w:t>
      </w:r>
      <w:r w:rsidRPr="006053BC">
        <w:rPr>
          <w:rFonts w:ascii="Times New Roman" w:hAnsi="Times New Roman" w:cs="Times New Roman"/>
          <w:sz w:val="24"/>
          <w:szCs w:val="24"/>
        </w:rPr>
        <w:t>Бизнес</w:t>
      </w:r>
      <w:r w:rsidRPr="006053BC">
        <w:rPr>
          <w:rFonts w:ascii="Times New Roman" w:hAnsi="Times New Roman" w:cs="Times New Roman"/>
          <w:sz w:val="24"/>
          <w:szCs w:val="24"/>
          <w:lang w:val="en-US"/>
        </w:rPr>
        <w:t xml:space="preserve">, 2007, 960 </w:t>
      </w:r>
      <w:r w:rsidRPr="006053BC">
        <w:rPr>
          <w:rFonts w:ascii="Times New Roman" w:hAnsi="Times New Roman" w:cs="Times New Roman"/>
          <w:sz w:val="24"/>
          <w:szCs w:val="24"/>
        </w:rPr>
        <w:t>с</w:t>
      </w:r>
      <w:r w:rsidRPr="006053BC">
        <w:rPr>
          <w:rFonts w:ascii="Times New Roman" w:hAnsi="Times New Roman" w:cs="Times New Roman"/>
          <w:sz w:val="24"/>
          <w:szCs w:val="24"/>
          <w:lang w:val="en-US"/>
        </w:rPr>
        <w:t>.</w:t>
      </w:r>
    </w:p>
  </w:footnote>
  <w:footnote w:id="37">
    <w:p w14:paraId="6D3F3426" w14:textId="6BC27FA6"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Deloitte Center for Financial Serviced - 2013 Banking Industry Outlook - Moving forward in the age of re-regulation // Deloitte, 2013 - </w:t>
      </w:r>
      <w:hyperlink r:id="rId10" w:history="1">
        <w:r w:rsidRPr="006053BC">
          <w:rPr>
            <w:rStyle w:val="Hyperlink"/>
            <w:rFonts w:ascii="Times New Roman" w:hAnsi="Times New Roman" w:cs="Times New Roman"/>
            <w:color w:val="auto"/>
            <w:sz w:val="24"/>
            <w:szCs w:val="24"/>
            <w:lang w:val="en-US"/>
          </w:rPr>
          <w:t>http://www.deloitte.com/assets/Dcom-UnitedStates/Local%20Assets/Documents/FSI/US_FSI_2013BankingIndustryOutlook_pdf_111212.pdf</w:t>
        </w:r>
      </w:hyperlink>
      <w:r w:rsidRPr="006053BC">
        <w:rPr>
          <w:rFonts w:ascii="Times New Roman" w:hAnsi="Times New Roman" w:cs="Times New Roman"/>
          <w:sz w:val="24"/>
          <w:szCs w:val="24"/>
          <w:lang w:val="en-US"/>
        </w:rPr>
        <w:t xml:space="preserve"> </w:t>
      </w:r>
    </w:p>
  </w:footnote>
  <w:footnote w:id="38">
    <w:p w14:paraId="66520FE4" w14:textId="49FB4CB0"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Амелин, И. Э. Консолидация банковского капитала. Теоретические аспекты целесообразности. М.: Банковское дело, 2011, №5</w:t>
      </w:r>
    </w:p>
  </w:footnote>
  <w:footnote w:id="39">
    <w:p w14:paraId="546C2780" w14:textId="7BEBA1C7" w:rsidR="002A1FA8" w:rsidRPr="006053BC" w:rsidRDefault="002A1FA8" w:rsidP="006053BC">
      <w:pPr>
        <w:pStyle w:val="NoSpacing"/>
        <w:rPr>
          <w:rFonts w:ascii="Times New Roman" w:hAnsi="Times New Roman" w:cs="Times New Roman"/>
          <w:sz w:val="24"/>
          <w:szCs w:val="24"/>
          <w:lang w:val="en-US"/>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Jack Milligan. Cautious optimism returns to bank M&amp;A, April 2011 - </w:t>
      </w:r>
      <w:hyperlink r:id="rId11" w:history="1">
        <w:r w:rsidRPr="006053BC">
          <w:rPr>
            <w:rStyle w:val="Hyperlink"/>
            <w:rFonts w:ascii="Times New Roman" w:hAnsi="Times New Roman" w:cs="Times New Roman"/>
            <w:color w:val="auto"/>
            <w:sz w:val="24"/>
            <w:szCs w:val="24"/>
            <w:lang w:val="en-US"/>
          </w:rPr>
          <w:t>http://www.grantthornton.com/staticfiles/GTCom/Financial%20services/FSandFI%20files/Cautious%20optimism%20returns%20to%20bank%20M&amp;A-Bank%20Director-Grant%20Thornton.pdf</w:t>
        </w:r>
      </w:hyperlink>
      <w:r w:rsidRPr="006053BC">
        <w:rPr>
          <w:rFonts w:ascii="Times New Roman" w:hAnsi="Times New Roman" w:cs="Times New Roman"/>
          <w:sz w:val="24"/>
          <w:szCs w:val="24"/>
          <w:lang w:val="en-US"/>
        </w:rPr>
        <w:t xml:space="preserve"> </w:t>
      </w:r>
    </w:p>
  </w:footnote>
  <w:footnote w:id="40">
    <w:p w14:paraId="15700D0A" w14:textId="50AFB95E"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Галпин Т., Хэндон М. Полное руководство по слияниям и поглощениям компаний. - М.: Вильямс, 2005, 240 с.</w:t>
      </w:r>
    </w:p>
  </w:footnote>
  <w:footnote w:id="41">
    <w:p w14:paraId="76FFB4F2" w14:textId="455F5DF6" w:rsidR="002A1FA8" w:rsidRPr="006053BC" w:rsidRDefault="002A1FA8" w:rsidP="006053BC">
      <w:pPr>
        <w:pStyle w:val="NoSpacing"/>
        <w:rPr>
          <w:rFonts w:ascii="Times New Roman" w:hAnsi="Times New Roman" w:cs="Times New Roman"/>
          <w:sz w:val="24"/>
          <w:szCs w:val="24"/>
          <w:u w:val="single"/>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w:t>
      </w:r>
      <w:r w:rsidRPr="006053BC">
        <w:rPr>
          <w:rFonts w:ascii="Times New Roman" w:hAnsi="Times New Roman" w:cs="Times New Roman"/>
          <w:sz w:val="24"/>
          <w:szCs w:val="24"/>
          <w:lang w:val="en-US"/>
        </w:rPr>
        <w:t xml:space="preserve">KPMG: Community banking outlook survey: executives say regulatory requirements are stifling and driving M&amp;A activity // KPMG, 2012 - </w:t>
      </w:r>
      <w:hyperlink r:id="rId12" w:history="1">
        <w:r w:rsidRPr="006053BC">
          <w:rPr>
            <w:rStyle w:val="Hyperlink"/>
            <w:rFonts w:ascii="Times New Roman" w:hAnsi="Times New Roman" w:cs="Times New Roman"/>
            <w:color w:val="auto"/>
            <w:sz w:val="24"/>
            <w:szCs w:val="24"/>
            <w:lang w:val="en-US"/>
          </w:rPr>
          <w:t>http://www.kpmg.com/US/en/IssuesAndInsights/ArticlesPublications/Documents/community-banking-survey-2012.pdf</w:t>
        </w:r>
      </w:hyperlink>
      <w:r w:rsidRPr="006053BC">
        <w:rPr>
          <w:rFonts w:ascii="Times New Roman" w:hAnsi="Times New Roman" w:cs="Times New Roman"/>
          <w:sz w:val="24"/>
          <w:szCs w:val="24"/>
          <w:lang w:val="en-US"/>
        </w:rPr>
        <w:t xml:space="preserve"> </w:t>
      </w:r>
    </w:p>
  </w:footnote>
  <w:footnote w:id="42">
    <w:p w14:paraId="7EAE9DD4" w14:textId="77777777" w:rsidR="002A1FA8" w:rsidRPr="006053BC" w:rsidRDefault="002A1FA8" w:rsidP="006053BC">
      <w:pPr>
        <w:pStyle w:val="NoSpacing"/>
        <w:rPr>
          <w:rStyle w:val="Hyperlink"/>
          <w:rFonts w:ascii="Times New Roman" w:hAnsi="Times New Roman" w:cs="Times New Roman"/>
          <w:color w:val="auto"/>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lang w:val="en-US"/>
        </w:rPr>
        <w:t xml:space="preserve"> Bruce Kiene, David W. Helin, Brad Eckerdt. An Accenture study of cross border M&amp;A in banking // Accenture, 2011 - </w:t>
      </w:r>
      <w:hyperlink r:id="rId13" w:history="1">
        <w:r w:rsidRPr="006053BC">
          <w:rPr>
            <w:rStyle w:val="Hyperlink"/>
            <w:rFonts w:ascii="Times New Roman" w:hAnsi="Times New Roman" w:cs="Times New Roman"/>
            <w:color w:val="auto"/>
            <w:sz w:val="24"/>
            <w:szCs w:val="24"/>
            <w:lang w:val="en-US"/>
          </w:rPr>
          <w:t>http://www.accenture.com/us-en/Pages/service-banking-mergers-acquisitions-summary.aspx</w:t>
        </w:r>
      </w:hyperlink>
      <w:r w:rsidRPr="006053BC">
        <w:rPr>
          <w:rStyle w:val="Hyperlink"/>
          <w:rFonts w:ascii="Times New Roman" w:hAnsi="Times New Roman" w:cs="Times New Roman"/>
          <w:color w:val="auto"/>
          <w:sz w:val="24"/>
          <w:szCs w:val="24"/>
          <w:lang w:val="en-US"/>
        </w:rPr>
        <w:t xml:space="preserve"> </w:t>
      </w:r>
    </w:p>
    <w:p w14:paraId="13893BA6" w14:textId="0B2AA953" w:rsidR="002A1FA8" w:rsidRPr="006053BC" w:rsidRDefault="002A1FA8" w:rsidP="006053BC">
      <w:pPr>
        <w:pStyle w:val="NoSpacing"/>
        <w:rPr>
          <w:rFonts w:ascii="Times New Roman" w:hAnsi="Times New Roman" w:cs="Times New Roman"/>
          <w:sz w:val="24"/>
          <w:szCs w:val="24"/>
          <w:lang w:val="en-US"/>
        </w:rPr>
      </w:pPr>
    </w:p>
  </w:footnote>
  <w:footnote w:id="43">
    <w:p w14:paraId="108AAC7F" w14:textId="26DF06E0"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Информационно-аналитический проект «Слияния и Поглощения в России» - </w:t>
      </w:r>
      <w:r w:rsidRPr="006053BC">
        <w:rPr>
          <w:rFonts w:ascii="Times New Roman" w:hAnsi="Times New Roman" w:cs="Times New Roman"/>
          <w:sz w:val="24"/>
          <w:szCs w:val="24"/>
          <w:u w:val="single"/>
        </w:rPr>
        <w:t>http://mergers.ru/</w:t>
      </w:r>
    </w:p>
  </w:footnote>
  <w:footnote w:id="44">
    <w:p w14:paraId="1F9A5838" w14:textId="12996B22"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Информационное агентство АК&amp;M - </w:t>
      </w:r>
      <w:hyperlink r:id="rId14" w:history="1">
        <w:r w:rsidRPr="006053BC">
          <w:rPr>
            <w:rStyle w:val="Hyperlink"/>
            <w:rFonts w:ascii="Times New Roman" w:hAnsi="Times New Roman" w:cs="Times New Roman"/>
            <w:color w:val="auto"/>
            <w:sz w:val="24"/>
            <w:szCs w:val="24"/>
          </w:rPr>
          <w:t>http://www.akm.ru/rus/ma/stat/2013/05.htm</w:t>
        </w:r>
      </w:hyperlink>
    </w:p>
  </w:footnote>
  <w:footnote w:id="45">
    <w:p w14:paraId="531BC4CD" w14:textId="30C0D472"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А.Н. Фоломьева. Слияния и поглощения в системе современной экономики. - М.: Изд-во РАГС, 2010, 187 с.</w:t>
      </w:r>
    </w:p>
  </w:footnote>
  <w:footnote w:id="46">
    <w:p w14:paraId="24ED6481" w14:textId="55179158"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Гвардин С.В., Чекун И.Н. Финансирование слияний и поглощений в России. - М.: 2009, 200 с.</w:t>
      </w:r>
    </w:p>
  </w:footnote>
  <w:footnote w:id="47">
    <w:p w14:paraId="0BE6D880" w14:textId="042FD23C"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Молотников А.Н. Слияния и поглощения. Российский опыт. - М.: Вершина, 2007. 344 с.</w:t>
      </w:r>
    </w:p>
  </w:footnote>
  <w:footnote w:id="48">
    <w:p w14:paraId="1505F889" w14:textId="77777777" w:rsidR="002A1FA8" w:rsidRPr="006053BC" w:rsidRDefault="002A1FA8" w:rsidP="006053BC">
      <w:pPr>
        <w:pStyle w:val="NoSpacing"/>
        <w:rPr>
          <w:rStyle w:val="Hyperlink"/>
          <w:rFonts w:ascii="Times New Roman" w:hAnsi="Times New Roman" w:cs="Times New Roman"/>
          <w:color w:val="auto"/>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w:t>
      </w:r>
      <w:r w:rsidRPr="006053BC">
        <w:rPr>
          <w:rFonts w:ascii="Times New Roman" w:hAnsi="Times New Roman" w:cs="Times New Roman"/>
          <w:bCs/>
          <w:sz w:val="24"/>
          <w:szCs w:val="24"/>
          <w:lang w:val="en-US"/>
        </w:rPr>
        <w:t xml:space="preserve">PwC: Decline in banking M&amp;A is a fundamental shift, not just a cyclical downturn // PricewaterhouseCoopers, 2013 - </w:t>
      </w:r>
      <w:hyperlink r:id="rId15" w:history="1">
        <w:r w:rsidRPr="006053BC">
          <w:rPr>
            <w:rStyle w:val="Hyperlink"/>
            <w:rFonts w:ascii="Times New Roman" w:hAnsi="Times New Roman" w:cs="Times New Roman"/>
            <w:bCs/>
            <w:color w:val="auto"/>
            <w:sz w:val="24"/>
            <w:szCs w:val="24"/>
            <w:lang w:val="en-US"/>
          </w:rPr>
          <w:t>http://www.pwc.ru/en/press-releases/2013/banking_m_a_apr_2013.jhtml</w:t>
        </w:r>
      </w:hyperlink>
      <w:r w:rsidRPr="006053BC">
        <w:rPr>
          <w:rStyle w:val="Hyperlink"/>
          <w:rFonts w:ascii="Times New Roman" w:hAnsi="Times New Roman" w:cs="Times New Roman"/>
          <w:bCs/>
          <w:color w:val="auto"/>
          <w:sz w:val="24"/>
          <w:szCs w:val="24"/>
          <w:lang w:val="en-US"/>
        </w:rPr>
        <w:t xml:space="preserve"> </w:t>
      </w:r>
    </w:p>
    <w:p w14:paraId="63753441" w14:textId="380438DB" w:rsidR="002A1FA8" w:rsidRPr="006053BC" w:rsidRDefault="002A1FA8" w:rsidP="006053BC">
      <w:pPr>
        <w:pStyle w:val="NoSpacing"/>
        <w:rPr>
          <w:rFonts w:ascii="Times New Roman" w:hAnsi="Times New Roman" w:cs="Times New Roman"/>
          <w:sz w:val="24"/>
          <w:szCs w:val="24"/>
        </w:rPr>
      </w:pPr>
    </w:p>
  </w:footnote>
  <w:footnote w:id="49">
    <w:p w14:paraId="78E5B9F2" w14:textId="39A1058A" w:rsidR="002A1FA8" w:rsidRPr="00331712" w:rsidRDefault="002A1FA8" w:rsidP="00331712">
      <w:pPr>
        <w:pStyle w:val="NoSpacing"/>
        <w:rPr>
          <w:rFonts w:ascii="Times New Roman" w:hAnsi="Times New Roman" w:cs="Times New Roman"/>
          <w:sz w:val="24"/>
          <w:szCs w:val="24"/>
        </w:rPr>
      </w:pPr>
      <w:r w:rsidRPr="00331712">
        <w:rPr>
          <w:rStyle w:val="FootnoteReference"/>
          <w:rFonts w:ascii="Times New Roman" w:hAnsi="Times New Roman" w:cs="Times New Roman"/>
          <w:sz w:val="24"/>
          <w:szCs w:val="24"/>
        </w:rPr>
        <w:footnoteRef/>
      </w:r>
      <w:r w:rsidRPr="00331712">
        <w:rPr>
          <w:rFonts w:ascii="Times New Roman" w:hAnsi="Times New Roman" w:cs="Times New Roman"/>
          <w:sz w:val="24"/>
          <w:szCs w:val="24"/>
        </w:rPr>
        <w:t xml:space="preserve"> Рыкова И.Н. Слияния в России как инструмент банковской консолидации. - М.: Финансы и кредит, 2011, №1. 241 с.</w:t>
      </w:r>
    </w:p>
  </w:footnote>
  <w:footnote w:id="50">
    <w:p w14:paraId="053BA96B" w14:textId="77777777" w:rsidR="002A1FA8" w:rsidRPr="00331712" w:rsidRDefault="002A1FA8" w:rsidP="00331712">
      <w:pPr>
        <w:pStyle w:val="NoSpacing"/>
        <w:rPr>
          <w:rStyle w:val="Hyperlink"/>
          <w:rFonts w:ascii="Times New Roman" w:hAnsi="Times New Roman" w:cs="Times New Roman"/>
          <w:sz w:val="24"/>
          <w:szCs w:val="24"/>
        </w:rPr>
      </w:pPr>
      <w:r w:rsidRPr="00331712">
        <w:rPr>
          <w:rStyle w:val="FootnoteReference"/>
          <w:rFonts w:ascii="Times New Roman" w:hAnsi="Times New Roman" w:cs="Times New Roman"/>
          <w:sz w:val="24"/>
          <w:szCs w:val="24"/>
        </w:rPr>
        <w:footnoteRef/>
      </w:r>
      <w:r w:rsidRPr="00331712">
        <w:rPr>
          <w:rFonts w:ascii="Times New Roman" w:hAnsi="Times New Roman" w:cs="Times New Roman"/>
          <w:sz w:val="24"/>
          <w:szCs w:val="24"/>
        </w:rPr>
        <w:t xml:space="preserve"> Рыбин Е.В. Слияния и поглощения банков в России как фактор экспансии иностранного банковского капитала. - М.: Деньги и кредит, 2007, №3 - </w:t>
      </w:r>
      <w:hyperlink r:id="rId16" w:history="1">
        <w:r w:rsidRPr="00331712">
          <w:rPr>
            <w:rStyle w:val="Hyperlink"/>
            <w:rFonts w:ascii="Times New Roman" w:hAnsi="Times New Roman" w:cs="Times New Roman"/>
            <w:sz w:val="24"/>
            <w:szCs w:val="24"/>
          </w:rPr>
          <w:t>http://www.cbr.ru/publ/MoneyAndCredit/ribin.pdf</w:t>
        </w:r>
      </w:hyperlink>
      <w:r w:rsidRPr="00331712">
        <w:rPr>
          <w:rFonts w:ascii="Times New Roman" w:hAnsi="Times New Roman" w:cs="Times New Roman"/>
          <w:sz w:val="24"/>
          <w:szCs w:val="24"/>
        </w:rPr>
        <w:t xml:space="preserve"> </w:t>
      </w:r>
    </w:p>
    <w:p w14:paraId="3F90A40C" w14:textId="29538C57" w:rsidR="002A1FA8" w:rsidRDefault="002A1FA8">
      <w:pPr>
        <w:pStyle w:val="FootnoteText"/>
      </w:pPr>
    </w:p>
  </w:footnote>
  <w:footnote w:id="51">
    <w:p w14:paraId="1480AC1C" w14:textId="7A4DFB54"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Рыбин Е.В. Слияния и поглощения банков в России как фактор экспансии иностранного банковского капитала. - М.: Деньги и кредит, 2007, №3 - </w:t>
      </w:r>
      <w:hyperlink r:id="rId17" w:history="1">
        <w:r w:rsidRPr="006053BC">
          <w:rPr>
            <w:rStyle w:val="Hyperlink"/>
            <w:rFonts w:ascii="Times New Roman" w:hAnsi="Times New Roman" w:cs="Times New Roman"/>
            <w:color w:val="auto"/>
            <w:sz w:val="24"/>
            <w:szCs w:val="24"/>
          </w:rPr>
          <w:t>http://www.cbr.ru/publ/MoneyAndCredit/ribin.pdf</w:t>
        </w:r>
      </w:hyperlink>
      <w:r w:rsidRPr="006053BC">
        <w:rPr>
          <w:rFonts w:ascii="Times New Roman" w:hAnsi="Times New Roman" w:cs="Times New Roman"/>
          <w:sz w:val="24"/>
          <w:szCs w:val="24"/>
        </w:rPr>
        <w:t xml:space="preserve">  </w:t>
      </w:r>
    </w:p>
  </w:footnote>
  <w:footnote w:id="52">
    <w:p w14:paraId="4C7E3CED" w14:textId="715E4C62"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Рыкова И.Н., Фисенко Н.В. Концентрация и мобилизация капитала в условиях слияния и поглощения кредитных организаций. - М.: Финансы и кредит, 2011. 244 с.</w:t>
      </w:r>
    </w:p>
  </w:footnote>
  <w:footnote w:id="53">
    <w:p w14:paraId="19FD70C5" w14:textId="3ED19AE0"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Горелов, В. В. Банковские слияния и поглощения как фактор диверсификации рынка банковских услуг. - М.: Банковские услуги, 2010, №11</w:t>
      </w:r>
    </w:p>
  </w:footnote>
  <w:footnote w:id="54">
    <w:p w14:paraId="33F34856" w14:textId="49A52FDB"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ОАО «Банк ВТБ» за 2011 год - </w:t>
      </w:r>
      <w:hyperlink r:id="rId18" w:history="1">
        <w:r w:rsidRPr="006053BC">
          <w:rPr>
            <w:rStyle w:val="Hyperlink"/>
            <w:rFonts w:ascii="Times New Roman" w:hAnsi="Times New Roman" w:cs="Times New Roman"/>
            <w:color w:val="auto"/>
            <w:sz w:val="24"/>
            <w:szCs w:val="24"/>
          </w:rPr>
          <w:t>http://www.vtb.ru/upload/iblock/109/VTB_Annual%20Report_2011_rus_20130128.pdf</w:t>
        </w:r>
      </w:hyperlink>
      <w:r w:rsidRPr="006053BC">
        <w:rPr>
          <w:rFonts w:ascii="Times New Roman" w:hAnsi="Times New Roman" w:cs="Times New Roman"/>
          <w:sz w:val="24"/>
          <w:szCs w:val="24"/>
        </w:rPr>
        <w:t xml:space="preserve"> </w:t>
      </w:r>
    </w:p>
  </w:footnote>
  <w:footnote w:id="55">
    <w:p w14:paraId="502EDD30" w14:textId="4365FCCC" w:rsidR="002A1FA8" w:rsidRPr="002A1FA8" w:rsidRDefault="002A1FA8" w:rsidP="002A1FA8">
      <w:pPr>
        <w:pStyle w:val="NoSpacing"/>
        <w:rPr>
          <w:rFonts w:ascii="Times New Roman" w:hAnsi="Times New Roman" w:cs="Times New Roman"/>
        </w:rPr>
      </w:pPr>
      <w:r w:rsidRPr="002A1FA8">
        <w:rPr>
          <w:rStyle w:val="FootnoteReference"/>
          <w:rFonts w:ascii="Times New Roman" w:hAnsi="Times New Roman" w:cs="Times New Roman"/>
          <w:sz w:val="24"/>
          <w:szCs w:val="24"/>
        </w:rPr>
        <w:footnoteRef/>
      </w:r>
      <w:r w:rsidRPr="002A1FA8">
        <w:rPr>
          <w:rFonts w:ascii="Times New Roman" w:hAnsi="Times New Roman" w:cs="Times New Roman"/>
        </w:rPr>
        <w:t xml:space="preserve"> Информационно-аналитический проект «Слияния и Поглощения в России» - </w:t>
      </w:r>
      <w:r w:rsidRPr="002A1FA8">
        <w:rPr>
          <w:rFonts w:ascii="Times New Roman" w:hAnsi="Times New Roman" w:cs="Times New Roman"/>
          <w:u w:val="single"/>
        </w:rPr>
        <w:t>http://mergers.ru/</w:t>
      </w:r>
    </w:p>
  </w:footnote>
  <w:footnote w:id="56">
    <w:p w14:paraId="5CDBB0D6" w14:textId="77777777" w:rsidR="002A1FA8" w:rsidRPr="002A1FA8" w:rsidRDefault="002A1FA8" w:rsidP="002A1FA8">
      <w:pPr>
        <w:pStyle w:val="NoSpacing"/>
        <w:rPr>
          <w:rStyle w:val="Hyperlink"/>
          <w:rFonts w:ascii="Times New Roman" w:hAnsi="Times New Roman" w:cs="Times New Roman"/>
          <w:color w:val="auto"/>
        </w:rPr>
      </w:pPr>
      <w:r w:rsidRPr="002A1FA8">
        <w:rPr>
          <w:rStyle w:val="FootnoteReference"/>
          <w:rFonts w:ascii="Times New Roman" w:hAnsi="Times New Roman" w:cs="Times New Roman"/>
        </w:rPr>
        <w:footnoteRef/>
      </w:r>
      <w:r w:rsidRPr="002A1FA8">
        <w:rPr>
          <w:rFonts w:ascii="Times New Roman" w:hAnsi="Times New Roman" w:cs="Times New Roman"/>
        </w:rPr>
        <w:t xml:space="preserve"> </w:t>
      </w:r>
      <w:r w:rsidRPr="002A1FA8">
        <w:rPr>
          <w:rFonts w:ascii="Times New Roman" w:hAnsi="Times New Roman" w:cs="Times New Roman"/>
          <w:szCs w:val="28"/>
          <w:lang w:val="en-US"/>
        </w:rPr>
        <w:t xml:space="preserve">Jack Milligan. Cautious optimism returns to bank M&amp;A, April 2011 - </w:t>
      </w:r>
      <w:hyperlink r:id="rId19" w:history="1">
        <w:r w:rsidRPr="002A1FA8">
          <w:rPr>
            <w:rStyle w:val="Hyperlink"/>
            <w:rFonts w:ascii="Times New Roman" w:hAnsi="Times New Roman" w:cs="Times New Roman"/>
            <w:color w:val="auto"/>
            <w:lang w:val="en-US"/>
          </w:rPr>
          <w:t>http://www.grantthornton.com/staticfiles/GTCom/Financial%20services/FSandFI%20files/Cautious%20optimism%20returns%20to%20bank%20M&amp;A-Bank%20Director-Grant%20Thornton.pdf</w:t>
        </w:r>
      </w:hyperlink>
    </w:p>
    <w:p w14:paraId="38801832" w14:textId="49B26BBB" w:rsidR="002A1FA8" w:rsidRDefault="002A1FA8">
      <w:pPr>
        <w:pStyle w:val="FootnoteText"/>
      </w:pPr>
    </w:p>
  </w:footnote>
  <w:footnote w:id="57">
    <w:p w14:paraId="0D6545C5" w14:textId="277C7986"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Рыбин Е.В. Слияния и поглощения банков в России как фактор экспансии иностранного банковского капитала. - М.: Деньги и кредит, 2007, №3 - </w:t>
      </w:r>
      <w:hyperlink r:id="rId20" w:history="1">
        <w:r w:rsidRPr="006053BC">
          <w:rPr>
            <w:rStyle w:val="Hyperlink"/>
            <w:rFonts w:ascii="Times New Roman" w:hAnsi="Times New Roman" w:cs="Times New Roman"/>
            <w:color w:val="auto"/>
            <w:sz w:val="24"/>
            <w:szCs w:val="24"/>
          </w:rPr>
          <w:t>http://www.cbr.ru/publ/MoneyAndCredit/ribin.pdf</w:t>
        </w:r>
      </w:hyperlink>
      <w:r w:rsidRPr="006053BC">
        <w:rPr>
          <w:rFonts w:ascii="Times New Roman" w:hAnsi="Times New Roman" w:cs="Times New Roman"/>
          <w:sz w:val="24"/>
          <w:szCs w:val="24"/>
        </w:rPr>
        <w:t xml:space="preserve"> </w:t>
      </w:r>
    </w:p>
  </w:footnote>
  <w:footnote w:id="58">
    <w:p w14:paraId="38D82D3D" w14:textId="77DB8915"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ОАО «Импэксбанк» за 2006 год - </w:t>
      </w:r>
      <w:hyperlink r:id="rId21" w:history="1">
        <w:r w:rsidRPr="006053BC">
          <w:rPr>
            <w:rStyle w:val="Hyperlink"/>
            <w:rFonts w:ascii="Times New Roman" w:hAnsi="Times New Roman" w:cs="Times New Roman"/>
            <w:color w:val="auto"/>
            <w:sz w:val="24"/>
            <w:szCs w:val="24"/>
          </w:rPr>
          <w:t>http://www.raiffeisen.ru/common/img/uploaded/files/about/annualreport/impexbank/2006.pdf</w:t>
        </w:r>
      </w:hyperlink>
      <w:r w:rsidRPr="006053BC">
        <w:rPr>
          <w:rFonts w:ascii="Times New Roman" w:hAnsi="Times New Roman" w:cs="Times New Roman"/>
          <w:sz w:val="24"/>
          <w:szCs w:val="24"/>
        </w:rPr>
        <w:t xml:space="preserve"> </w:t>
      </w:r>
    </w:p>
  </w:footnote>
  <w:footnote w:id="59">
    <w:p w14:paraId="38DE43A7" w14:textId="25008D92"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Там же </w:t>
      </w:r>
    </w:p>
  </w:footnote>
  <w:footnote w:id="60">
    <w:p w14:paraId="152855CE" w14:textId="5B982DA8"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ЗАО «Райффайзенбанк» за 2011 год - </w:t>
      </w:r>
      <w:hyperlink r:id="rId22" w:history="1">
        <w:r w:rsidRPr="006053BC">
          <w:rPr>
            <w:rStyle w:val="Hyperlink"/>
            <w:rFonts w:ascii="Times New Roman" w:hAnsi="Times New Roman" w:cs="Times New Roman"/>
            <w:color w:val="auto"/>
            <w:sz w:val="24"/>
            <w:szCs w:val="24"/>
          </w:rPr>
          <w:t>http://www.raiffeisen.ru/common/img/uploaded/files/about/annualreport/raiffeisen-annual11-ru_05.pdf</w:t>
        </w:r>
      </w:hyperlink>
    </w:p>
  </w:footnote>
  <w:footnote w:id="61">
    <w:p w14:paraId="795DA67B" w14:textId="77777777"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Журнал слияния и поглощения - </w:t>
      </w:r>
      <w:hyperlink r:id="rId23" w:history="1">
        <w:r w:rsidRPr="006053BC">
          <w:rPr>
            <w:rStyle w:val="Hyperlink"/>
            <w:rFonts w:ascii="Times New Roman" w:hAnsi="Times New Roman" w:cs="Times New Roman"/>
            <w:color w:val="auto"/>
            <w:sz w:val="24"/>
            <w:szCs w:val="24"/>
          </w:rPr>
          <w:t>http://www.ma-journal.ru</w:t>
        </w:r>
      </w:hyperlink>
    </w:p>
    <w:p w14:paraId="02998037" w14:textId="6E1D694D" w:rsidR="002A1FA8" w:rsidRPr="006053BC" w:rsidRDefault="002A1FA8" w:rsidP="006053BC">
      <w:pPr>
        <w:pStyle w:val="NoSpacing"/>
        <w:rPr>
          <w:rFonts w:ascii="Times New Roman" w:hAnsi="Times New Roman" w:cs="Times New Roman"/>
          <w:sz w:val="24"/>
          <w:szCs w:val="24"/>
        </w:rPr>
      </w:pPr>
    </w:p>
  </w:footnote>
  <w:footnote w:id="62">
    <w:p w14:paraId="559FDCA5" w14:textId="105A082F"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Там же </w:t>
      </w:r>
    </w:p>
  </w:footnote>
  <w:footnote w:id="63">
    <w:p w14:paraId="0B37C303" w14:textId="1A265E8D"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ЗАО «Райффайзенбанк» за 2011 год</w:t>
      </w:r>
    </w:p>
  </w:footnote>
  <w:footnote w:id="64">
    <w:p w14:paraId="6CE41A73" w14:textId="77777777"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Информационный портал banki.ru - http://www.banki.ru/news/daytheme/?id=125075</w:t>
      </w:r>
    </w:p>
  </w:footnote>
  <w:footnote w:id="65">
    <w:p w14:paraId="709567BB" w14:textId="4426F07C"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Там же</w:t>
      </w:r>
    </w:p>
  </w:footnote>
  <w:footnote w:id="66">
    <w:p w14:paraId="2728F20C" w14:textId="658360B9"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ЗАО «Райффайзенбанк» за 2011 год - </w:t>
      </w:r>
      <w:hyperlink r:id="rId24" w:history="1">
        <w:r w:rsidRPr="006053BC">
          <w:rPr>
            <w:rStyle w:val="Hyperlink"/>
            <w:rFonts w:ascii="Times New Roman" w:hAnsi="Times New Roman" w:cs="Times New Roman"/>
            <w:color w:val="auto"/>
            <w:sz w:val="24"/>
            <w:szCs w:val="24"/>
          </w:rPr>
          <w:t>http://www.raiffeisen.ru/common/img/uploaded/files/about/annualreport/raiffeisen-annual11-ru_05.pdf</w:t>
        </w:r>
      </w:hyperlink>
    </w:p>
  </w:footnote>
  <w:footnote w:id="67">
    <w:p w14:paraId="570E701E" w14:textId="6129BFE5" w:rsidR="002A1FA8" w:rsidRPr="006053BC" w:rsidRDefault="002A1FA8" w:rsidP="006053BC">
      <w:pPr>
        <w:pStyle w:val="NoSpacing"/>
        <w:rPr>
          <w:rFonts w:ascii="Times New Roman" w:hAnsi="Times New Roman" w:cs="Times New Roman"/>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ЗАО «Райффайзенбанк» за 2007 год - </w:t>
      </w:r>
      <w:hyperlink r:id="rId25" w:history="1">
        <w:r w:rsidRPr="006053BC">
          <w:rPr>
            <w:rStyle w:val="Hyperlink"/>
            <w:rFonts w:ascii="Times New Roman" w:hAnsi="Times New Roman" w:cs="Times New Roman"/>
            <w:color w:val="auto"/>
            <w:sz w:val="24"/>
            <w:szCs w:val="24"/>
          </w:rPr>
          <w:t>http://www.raiffeisen.ru/common/img/uploaded/files/about/annualreport/Raiffeisen_AR2007_rus_segment.pdf</w:t>
        </w:r>
      </w:hyperlink>
      <w:r w:rsidRPr="006053BC">
        <w:rPr>
          <w:rFonts w:ascii="Times New Roman" w:hAnsi="Times New Roman" w:cs="Times New Roman"/>
          <w:sz w:val="24"/>
          <w:szCs w:val="24"/>
        </w:rPr>
        <w:t xml:space="preserve"> </w:t>
      </w:r>
    </w:p>
  </w:footnote>
  <w:footnote w:id="68">
    <w:p w14:paraId="70E45946" w14:textId="77777777" w:rsidR="002A1FA8" w:rsidRPr="006053BC" w:rsidRDefault="002A1FA8" w:rsidP="006053BC">
      <w:pPr>
        <w:pStyle w:val="NoSpacing"/>
        <w:rPr>
          <w:rFonts w:ascii="Times New Roman" w:hAnsi="Times New Roman" w:cs="Times New Roman"/>
          <w:sz w:val="24"/>
          <w:szCs w:val="24"/>
          <w:u w:val="single"/>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Годовой отчет ЗАО «Райффайзенбанк» за 2011 год - </w:t>
      </w:r>
      <w:hyperlink r:id="rId26" w:history="1">
        <w:r w:rsidRPr="006053BC">
          <w:rPr>
            <w:rStyle w:val="Hyperlink"/>
            <w:rFonts w:ascii="Times New Roman" w:hAnsi="Times New Roman" w:cs="Times New Roman"/>
            <w:color w:val="auto"/>
            <w:sz w:val="24"/>
            <w:szCs w:val="24"/>
          </w:rPr>
          <w:t>http://www.raiffeisen.ru/common/img/uploaded/files/about/annualreport/raiffeisen-annual11-ru_05.pdf</w:t>
        </w:r>
      </w:hyperlink>
      <w:r w:rsidRPr="006053BC">
        <w:rPr>
          <w:rFonts w:ascii="Times New Roman" w:hAnsi="Times New Roman" w:cs="Times New Roman"/>
          <w:sz w:val="24"/>
          <w:szCs w:val="24"/>
        </w:rPr>
        <w:t xml:space="preserve"> </w:t>
      </w:r>
    </w:p>
    <w:p w14:paraId="493A3CEA" w14:textId="57624B01" w:rsidR="002A1FA8" w:rsidRPr="006053BC" w:rsidRDefault="002A1FA8" w:rsidP="006053BC">
      <w:pPr>
        <w:pStyle w:val="NoSpacing"/>
        <w:rPr>
          <w:rFonts w:ascii="Times New Roman" w:hAnsi="Times New Roman" w:cs="Times New Roman"/>
          <w:sz w:val="24"/>
          <w:szCs w:val="24"/>
        </w:rPr>
      </w:pPr>
    </w:p>
  </w:footnote>
  <w:footnote w:id="69">
    <w:p w14:paraId="7465CE0D" w14:textId="77777777" w:rsidR="002A1FA8" w:rsidRPr="006053BC" w:rsidRDefault="002A1FA8" w:rsidP="006053BC">
      <w:pPr>
        <w:pStyle w:val="NoSpacing"/>
        <w:rPr>
          <w:rStyle w:val="Hyperlink"/>
          <w:rFonts w:ascii="Times New Roman" w:hAnsi="Times New Roman" w:cs="Times New Roman"/>
          <w:color w:val="auto"/>
          <w:sz w:val="24"/>
          <w:szCs w:val="24"/>
        </w:rPr>
      </w:pPr>
      <w:r w:rsidRPr="006053BC">
        <w:rPr>
          <w:rStyle w:val="FootnoteReference"/>
          <w:rFonts w:ascii="Times New Roman" w:hAnsi="Times New Roman" w:cs="Times New Roman"/>
          <w:sz w:val="24"/>
          <w:szCs w:val="24"/>
        </w:rPr>
        <w:footnoteRef/>
      </w:r>
      <w:r w:rsidRPr="006053BC">
        <w:rPr>
          <w:rFonts w:ascii="Times New Roman" w:hAnsi="Times New Roman" w:cs="Times New Roman"/>
          <w:sz w:val="24"/>
          <w:szCs w:val="24"/>
        </w:rPr>
        <w:t xml:space="preserve"> Рыбин Е.В. Слияния и поглощения банков в России как фактор экспансии иностранного банковского капитала. - М.: Деньги и кредит, 2007, №3 - </w:t>
      </w:r>
      <w:hyperlink r:id="rId27" w:history="1">
        <w:r w:rsidRPr="006053BC">
          <w:rPr>
            <w:rStyle w:val="Hyperlink"/>
            <w:rFonts w:ascii="Times New Roman" w:hAnsi="Times New Roman" w:cs="Times New Roman"/>
            <w:color w:val="auto"/>
            <w:sz w:val="24"/>
            <w:szCs w:val="24"/>
          </w:rPr>
          <w:t>http://www.cbr.ru/publ/MoneyAndCredit/ribin.pdf</w:t>
        </w:r>
      </w:hyperlink>
      <w:r w:rsidRPr="006053BC">
        <w:rPr>
          <w:rFonts w:ascii="Times New Roman" w:hAnsi="Times New Roman" w:cs="Times New Roman"/>
          <w:sz w:val="24"/>
          <w:szCs w:val="24"/>
        </w:rPr>
        <w:t xml:space="preserve"> </w:t>
      </w:r>
    </w:p>
    <w:p w14:paraId="7588CEF6" w14:textId="5A18619E" w:rsidR="002A1FA8" w:rsidRPr="006053BC" w:rsidRDefault="002A1FA8" w:rsidP="006053BC">
      <w:pPr>
        <w:pStyle w:val="NoSpacing"/>
        <w:rPr>
          <w:rFonts w:ascii="Times New Roman" w:hAnsi="Times New Roman" w:cs="Times New Roman"/>
          <w:sz w:val="24"/>
          <w:szCs w:val="24"/>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60"/>
    <w:multiLevelType w:val="hybridMultilevel"/>
    <w:tmpl w:val="5A7E0A46"/>
    <w:lvl w:ilvl="0" w:tplc="E6CE342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30E6935"/>
    <w:multiLevelType w:val="hybridMultilevel"/>
    <w:tmpl w:val="042EB252"/>
    <w:lvl w:ilvl="0" w:tplc="873EF532">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160F69"/>
    <w:multiLevelType w:val="hybridMultilevel"/>
    <w:tmpl w:val="DFDC9DC8"/>
    <w:lvl w:ilvl="0" w:tplc="04090011">
      <w:start w:val="1"/>
      <w:numFmt w:val="decimal"/>
      <w:lvlText w:val="%1)"/>
      <w:lvlJc w:val="left"/>
      <w:pPr>
        <w:ind w:left="7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3B4E63"/>
    <w:multiLevelType w:val="hybridMultilevel"/>
    <w:tmpl w:val="DFB0F9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08A37F4"/>
    <w:multiLevelType w:val="multilevel"/>
    <w:tmpl w:val="FEE67EB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7357BCC"/>
    <w:multiLevelType w:val="hybridMultilevel"/>
    <w:tmpl w:val="9A6CAA8A"/>
    <w:lvl w:ilvl="0" w:tplc="DCEE255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051B6"/>
    <w:multiLevelType w:val="hybridMultilevel"/>
    <w:tmpl w:val="D0087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A3647"/>
    <w:multiLevelType w:val="hybridMultilevel"/>
    <w:tmpl w:val="AAE0D1A8"/>
    <w:lvl w:ilvl="0" w:tplc="E6DAEE62">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F65BAB"/>
    <w:multiLevelType w:val="hybridMultilevel"/>
    <w:tmpl w:val="D8C6A8C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D740054"/>
    <w:multiLevelType w:val="singleLevel"/>
    <w:tmpl w:val="BC64C000"/>
    <w:lvl w:ilvl="0">
      <w:numFmt w:val="bullet"/>
      <w:lvlText w:val="-"/>
      <w:lvlJc w:val="left"/>
      <w:pPr>
        <w:tabs>
          <w:tab w:val="num" w:pos="360"/>
        </w:tabs>
        <w:ind w:left="360" w:hanging="360"/>
      </w:pPr>
      <w:rPr>
        <w:rFonts w:hint="default"/>
      </w:rPr>
    </w:lvl>
  </w:abstractNum>
  <w:abstractNum w:abstractNumId="10">
    <w:nsid w:val="30C3763D"/>
    <w:multiLevelType w:val="hybridMultilevel"/>
    <w:tmpl w:val="C0B80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741511"/>
    <w:multiLevelType w:val="hybridMultilevel"/>
    <w:tmpl w:val="FA7AB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D09C1"/>
    <w:multiLevelType w:val="hybridMultilevel"/>
    <w:tmpl w:val="30BC2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373187"/>
    <w:multiLevelType w:val="hybridMultilevel"/>
    <w:tmpl w:val="8938AA68"/>
    <w:lvl w:ilvl="0" w:tplc="1D5E0A54">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5935AB1"/>
    <w:multiLevelType w:val="hybridMultilevel"/>
    <w:tmpl w:val="25B28DE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52701A3"/>
    <w:multiLevelType w:val="hybridMultilevel"/>
    <w:tmpl w:val="AAE0D1A8"/>
    <w:lvl w:ilvl="0" w:tplc="E6DAEE62">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6E00B32"/>
    <w:multiLevelType w:val="hybridMultilevel"/>
    <w:tmpl w:val="AAE0D1A8"/>
    <w:lvl w:ilvl="0" w:tplc="E6DAEE62">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A1E6EF2"/>
    <w:multiLevelType w:val="hybridMultilevel"/>
    <w:tmpl w:val="30BC2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1472063"/>
    <w:multiLevelType w:val="hybridMultilevel"/>
    <w:tmpl w:val="30BC2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C77631"/>
    <w:multiLevelType w:val="multilevel"/>
    <w:tmpl w:val="F314F4C2"/>
    <w:lvl w:ilvl="0">
      <w:start w:val="1"/>
      <w:numFmt w:val="decimal"/>
      <w:lvlText w:val="%1."/>
      <w:lvlJc w:val="left"/>
      <w:pPr>
        <w:ind w:left="500" w:hanging="5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6F1E10BA"/>
    <w:multiLevelType w:val="hybridMultilevel"/>
    <w:tmpl w:val="30BC2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FEE4A64"/>
    <w:multiLevelType w:val="hybridMultilevel"/>
    <w:tmpl w:val="AAE0D1A8"/>
    <w:lvl w:ilvl="0" w:tplc="E6DAEE62">
      <w:start w:val="1"/>
      <w:numFmt w:val="decimal"/>
      <w:lvlText w:val="%1)"/>
      <w:lvlJc w:val="left"/>
      <w:pPr>
        <w:ind w:left="864" w:hanging="5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09D7443"/>
    <w:multiLevelType w:val="hybridMultilevel"/>
    <w:tmpl w:val="30BC20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87A3780"/>
    <w:multiLevelType w:val="hybridMultilevel"/>
    <w:tmpl w:val="57CCBE10"/>
    <w:lvl w:ilvl="0" w:tplc="682833BE">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14"/>
  </w:num>
  <w:num w:numId="6">
    <w:abstractNumId w:val="13"/>
  </w:num>
  <w:num w:numId="7">
    <w:abstractNumId w:val="1"/>
  </w:num>
  <w:num w:numId="8">
    <w:abstractNumId w:val="21"/>
  </w:num>
  <w:num w:numId="9">
    <w:abstractNumId w:val="19"/>
  </w:num>
  <w:num w:numId="10">
    <w:abstractNumId w:val="0"/>
  </w:num>
  <w:num w:numId="11">
    <w:abstractNumId w:val="11"/>
  </w:num>
  <w:num w:numId="12">
    <w:abstractNumId w:val="17"/>
  </w:num>
  <w:num w:numId="13">
    <w:abstractNumId w:val="12"/>
  </w:num>
  <w:num w:numId="14">
    <w:abstractNumId w:val="22"/>
  </w:num>
  <w:num w:numId="15">
    <w:abstractNumId w:val="20"/>
  </w:num>
  <w:num w:numId="16">
    <w:abstractNumId w:val="18"/>
  </w:num>
  <w:num w:numId="17">
    <w:abstractNumId w:val="4"/>
  </w:num>
  <w:num w:numId="18">
    <w:abstractNumId w:val="10"/>
  </w:num>
  <w:num w:numId="19">
    <w:abstractNumId w:val="7"/>
  </w:num>
  <w:num w:numId="20">
    <w:abstractNumId w:val="16"/>
  </w:num>
  <w:num w:numId="21">
    <w:abstractNumId w:val="15"/>
  </w:num>
  <w:num w:numId="22">
    <w:abstractNumId w:val="2"/>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CB"/>
    <w:rsid w:val="0000668E"/>
    <w:rsid w:val="00010498"/>
    <w:rsid w:val="00010EB4"/>
    <w:rsid w:val="00012896"/>
    <w:rsid w:val="00016068"/>
    <w:rsid w:val="000167BD"/>
    <w:rsid w:val="000215A5"/>
    <w:rsid w:val="000221D8"/>
    <w:rsid w:val="00030FF7"/>
    <w:rsid w:val="00040055"/>
    <w:rsid w:val="00046297"/>
    <w:rsid w:val="000518A6"/>
    <w:rsid w:val="000578D2"/>
    <w:rsid w:val="00060C35"/>
    <w:rsid w:val="00072618"/>
    <w:rsid w:val="00073F57"/>
    <w:rsid w:val="0007586C"/>
    <w:rsid w:val="00077AED"/>
    <w:rsid w:val="000806FC"/>
    <w:rsid w:val="0008761B"/>
    <w:rsid w:val="000A274B"/>
    <w:rsid w:val="000A7CD2"/>
    <w:rsid w:val="000B22F9"/>
    <w:rsid w:val="000B3CD0"/>
    <w:rsid w:val="000C0CCC"/>
    <w:rsid w:val="000C3B33"/>
    <w:rsid w:val="000C3D02"/>
    <w:rsid w:val="000C49EF"/>
    <w:rsid w:val="000C4AF6"/>
    <w:rsid w:val="000C5C44"/>
    <w:rsid w:val="000D03DA"/>
    <w:rsid w:val="000D5AC2"/>
    <w:rsid w:val="000E23D4"/>
    <w:rsid w:val="000F6C86"/>
    <w:rsid w:val="000F75E1"/>
    <w:rsid w:val="000F7833"/>
    <w:rsid w:val="00106548"/>
    <w:rsid w:val="00107ED6"/>
    <w:rsid w:val="001135DC"/>
    <w:rsid w:val="00114F03"/>
    <w:rsid w:val="001214B2"/>
    <w:rsid w:val="00123E66"/>
    <w:rsid w:val="001359BE"/>
    <w:rsid w:val="00135D48"/>
    <w:rsid w:val="00136BF1"/>
    <w:rsid w:val="0013751F"/>
    <w:rsid w:val="00150101"/>
    <w:rsid w:val="00152294"/>
    <w:rsid w:val="00172ED5"/>
    <w:rsid w:val="00184A80"/>
    <w:rsid w:val="00184AC4"/>
    <w:rsid w:val="001876E6"/>
    <w:rsid w:val="00195B2F"/>
    <w:rsid w:val="001A018F"/>
    <w:rsid w:val="001A3BD7"/>
    <w:rsid w:val="001A6F0B"/>
    <w:rsid w:val="001B0062"/>
    <w:rsid w:val="001B068E"/>
    <w:rsid w:val="001C0FAD"/>
    <w:rsid w:val="001C219A"/>
    <w:rsid w:val="001D0423"/>
    <w:rsid w:val="001D17DD"/>
    <w:rsid w:val="001D40F9"/>
    <w:rsid w:val="001E565D"/>
    <w:rsid w:val="001F0836"/>
    <w:rsid w:val="00246188"/>
    <w:rsid w:val="00250771"/>
    <w:rsid w:val="00252460"/>
    <w:rsid w:val="002563C2"/>
    <w:rsid w:val="00256C3F"/>
    <w:rsid w:val="00256ECB"/>
    <w:rsid w:val="00257A15"/>
    <w:rsid w:val="002608F4"/>
    <w:rsid w:val="00265767"/>
    <w:rsid w:val="00267A40"/>
    <w:rsid w:val="00272256"/>
    <w:rsid w:val="002724C8"/>
    <w:rsid w:val="00282AAA"/>
    <w:rsid w:val="00292388"/>
    <w:rsid w:val="00292D3E"/>
    <w:rsid w:val="00294A0F"/>
    <w:rsid w:val="002A1D4D"/>
    <w:rsid w:val="002A1FA8"/>
    <w:rsid w:val="002A768D"/>
    <w:rsid w:val="002B09B3"/>
    <w:rsid w:val="002B249F"/>
    <w:rsid w:val="002C2982"/>
    <w:rsid w:val="002D2F11"/>
    <w:rsid w:val="003012E0"/>
    <w:rsid w:val="0030131F"/>
    <w:rsid w:val="00310B1C"/>
    <w:rsid w:val="00326A99"/>
    <w:rsid w:val="00331712"/>
    <w:rsid w:val="00336F01"/>
    <w:rsid w:val="00337675"/>
    <w:rsid w:val="00340BCB"/>
    <w:rsid w:val="00351BA1"/>
    <w:rsid w:val="003563A3"/>
    <w:rsid w:val="00360317"/>
    <w:rsid w:val="003617C6"/>
    <w:rsid w:val="00363D5A"/>
    <w:rsid w:val="00367EE0"/>
    <w:rsid w:val="00375B44"/>
    <w:rsid w:val="00381FE4"/>
    <w:rsid w:val="003925C4"/>
    <w:rsid w:val="00396E84"/>
    <w:rsid w:val="003A116C"/>
    <w:rsid w:val="003B368D"/>
    <w:rsid w:val="003B6E5A"/>
    <w:rsid w:val="003C2B13"/>
    <w:rsid w:val="003C2D52"/>
    <w:rsid w:val="003C2F0E"/>
    <w:rsid w:val="003C4EA1"/>
    <w:rsid w:val="003D3BE0"/>
    <w:rsid w:val="003D5BCB"/>
    <w:rsid w:val="003E09C6"/>
    <w:rsid w:val="003F07CC"/>
    <w:rsid w:val="003F3ED9"/>
    <w:rsid w:val="003F430A"/>
    <w:rsid w:val="00400F0B"/>
    <w:rsid w:val="00404EB8"/>
    <w:rsid w:val="00405EC9"/>
    <w:rsid w:val="00406880"/>
    <w:rsid w:val="00406F6A"/>
    <w:rsid w:val="0041297D"/>
    <w:rsid w:val="004133FA"/>
    <w:rsid w:val="00416EED"/>
    <w:rsid w:val="0041744D"/>
    <w:rsid w:val="00423096"/>
    <w:rsid w:val="00425468"/>
    <w:rsid w:val="004279E0"/>
    <w:rsid w:val="004308EF"/>
    <w:rsid w:val="00431897"/>
    <w:rsid w:val="004328CC"/>
    <w:rsid w:val="00435EC3"/>
    <w:rsid w:val="004426E0"/>
    <w:rsid w:val="00443C39"/>
    <w:rsid w:val="00445FF1"/>
    <w:rsid w:val="0045591E"/>
    <w:rsid w:val="00455AEB"/>
    <w:rsid w:val="00462279"/>
    <w:rsid w:val="00465B64"/>
    <w:rsid w:val="0046604A"/>
    <w:rsid w:val="00467C7E"/>
    <w:rsid w:val="00470503"/>
    <w:rsid w:val="0047523A"/>
    <w:rsid w:val="0047569A"/>
    <w:rsid w:val="00481103"/>
    <w:rsid w:val="004829CE"/>
    <w:rsid w:val="00493EBF"/>
    <w:rsid w:val="004A4C5F"/>
    <w:rsid w:val="004A7F8E"/>
    <w:rsid w:val="004D3F4F"/>
    <w:rsid w:val="004D5CBB"/>
    <w:rsid w:val="004D7E7E"/>
    <w:rsid w:val="004E1065"/>
    <w:rsid w:val="004E4A23"/>
    <w:rsid w:val="004F408B"/>
    <w:rsid w:val="005066D9"/>
    <w:rsid w:val="0051139C"/>
    <w:rsid w:val="00512C0F"/>
    <w:rsid w:val="00517A2A"/>
    <w:rsid w:val="00526A92"/>
    <w:rsid w:val="005327C1"/>
    <w:rsid w:val="00535FC6"/>
    <w:rsid w:val="0054174A"/>
    <w:rsid w:val="0054719E"/>
    <w:rsid w:val="0055146B"/>
    <w:rsid w:val="005524AC"/>
    <w:rsid w:val="00555AF8"/>
    <w:rsid w:val="00556BEA"/>
    <w:rsid w:val="00566D2D"/>
    <w:rsid w:val="00575C99"/>
    <w:rsid w:val="0058310F"/>
    <w:rsid w:val="00585578"/>
    <w:rsid w:val="00590EC4"/>
    <w:rsid w:val="0059225E"/>
    <w:rsid w:val="005A1176"/>
    <w:rsid w:val="005A6B97"/>
    <w:rsid w:val="005B518C"/>
    <w:rsid w:val="005D5B1F"/>
    <w:rsid w:val="00602B41"/>
    <w:rsid w:val="00604BED"/>
    <w:rsid w:val="006053BC"/>
    <w:rsid w:val="0061681D"/>
    <w:rsid w:val="00622DB3"/>
    <w:rsid w:val="006244E5"/>
    <w:rsid w:val="006259B8"/>
    <w:rsid w:val="00626DC1"/>
    <w:rsid w:val="00632041"/>
    <w:rsid w:val="00644C4D"/>
    <w:rsid w:val="00651A12"/>
    <w:rsid w:val="006547BC"/>
    <w:rsid w:val="00655B54"/>
    <w:rsid w:val="006565D5"/>
    <w:rsid w:val="00661461"/>
    <w:rsid w:val="00677164"/>
    <w:rsid w:val="006828FC"/>
    <w:rsid w:val="006A7B3D"/>
    <w:rsid w:val="006B170C"/>
    <w:rsid w:val="006B29D3"/>
    <w:rsid w:val="006B75C7"/>
    <w:rsid w:val="006C4B92"/>
    <w:rsid w:val="006C569B"/>
    <w:rsid w:val="006E65D8"/>
    <w:rsid w:val="006F01BA"/>
    <w:rsid w:val="006F1214"/>
    <w:rsid w:val="0070507D"/>
    <w:rsid w:val="007321F4"/>
    <w:rsid w:val="00746A2E"/>
    <w:rsid w:val="00751991"/>
    <w:rsid w:val="00760363"/>
    <w:rsid w:val="00767B0D"/>
    <w:rsid w:val="00767D07"/>
    <w:rsid w:val="007819D7"/>
    <w:rsid w:val="0078229A"/>
    <w:rsid w:val="0078477A"/>
    <w:rsid w:val="007873D2"/>
    <w:rsid w:val="00792358"/>
    <w:rsid w:val="007949C2"/>
    <w:rsid w:val="007A0F84"/>
    <w:rsid w:val="007A52AF"/>
    <w:rsid w:val="007B1577"/>
    <w:rsid w:val="007C0F20"/>
    <w:rsid w:val="007C67DD"/>
    <w:rsid w:val="007D3FF0"/>
    <w:rsid w:val="007F22ED"/>
    <w:rsid w:val="0080283B"/>
    <w:rsid w:val="00810141"/>
    <w:rsid w:val="008110AD"/>
    <w:rsid w:val="008221E4"/>
    <w:rsid w:val="00830070"/>
    <w:rsid w:val="00830733"/>
    <w:rsid w:val="00857CF6"/>
    <w:rsid w:val="008606C8"/>
    <w:rsid w:val="008615E2"/>
    <w:rsid w:val="008631B6"/>
    <w:rsid w:val="008648E6"/>
    <w:rsid w:val="008711A7"/>
    <w:rsid w:val="008748FC"/>
    <w:rsid w:val="00877480"/>
    <w:rsid w:val="008804C9"/>
    <w:rsid w:val="008845E3"/>
    <w:rsid w:val="0089534A"/>
    <w:rsid w:val="008954F9"/>
    <w:rsid w:val="008A03ED"/>
    <w:rsid w:val="008A21C8"/>
    <w:rsid w:val="008B4083"/>
    <w:rsid w:val="008C49B1"/>
    <w:rsid w:val="008D14DD"/>
    <w:rsid w:val="008E0762"/>
    <w:rsid w:val="008E65F7"/>
    <w:rsid w:val="008F0531"/>
    <w:rsid w:val="00900F30"/>
    <w:rsid w:val="00901955"/>
    <w:rsid w:val="00916099"/>
    <w:rsid w:val="0092680E"/>
    <w:rsid w:val="00931DA2"/>
    <w:rsid w:val="00934885"/>
    <w:rsid w:val="00937761"/>
    <w:rsid w:val="0094059A"/>
    <w:rsid w:val="009406BB"/>
    <w:rsid w:val="009437A3"/>
    <w:rsid w:val="00944DBB"/>
    <w:rsid w:val="009455B2"/>
    <w:rsid w:val="00947CAD"/>
    <w:rsid w:val="00951271"/>
    <w:rsid w:val="00951770"/>
    <w:rsid w:val="00961D64"/>
    <w:rsid w:val="00964919"/>
    <w:rsid w:val="0097247F"/>
    <w:rsid w:val="00990449"/>
    <w:rsid w:val="00991211"/>
    <w:rsid w:val="009A4648"/>
    <w:rsid w:val="009A4DDD"/>
    <w:rsid w:val="009B5579"/>
    <w:rsid w:val="009C456A"/>
    <w:rsid w:val="009C68A7"/>
    <w:rsid w:val="009D07CA"/>
    <w:rsid w:val="009E2B27"/>
    <w:rsid w:val="009E6399"/>
    <w:rsid w:val="00A01ACF"/>
    <w:rsid w:val="00A060D9"/>
    <w:rsid w:val="00A075A0"/>
    <w:rsid w:val="00A10287"/>
    <w:rsid w:val="00A1465A"/>
    <w:rsid w:val="00A22823"/>
    <w:rsid w:val="00A52856"/>
    <w:rsid w:val="00A60048"/>
    <w:rsid w:val="00A65878"/>
    <w:rsid w:val="00A745DC"/>
    <w:rsid w:val="00A752F4"/>
    <w:rsid w:val="00A82667"/>
    <w:rsid w:val="00A83317"/>
    <w:rsid w:val="00A878DF"/>
    <w:rsid w:val="00A87BD0"/>
    <w:rsid w:val="00A87FF9"/>
    <w:rsid w:val="00AA0436"/>
    <w:rsid w:val="00AA16B8"/>
    <w:rsid w:val="00AA7FFA"/>
    <w:rsid w:val="00AC35C4"/>
    <w:rsid w:val="00AC3EF4"/>
    <w:rsid w:val="00AC4B58"/>
    <w:rsid w:val="00AC53B1"/>
    <w:rsid w:val="00AD1FE7"/>
    <w:rsid w:val="00AE076B"/>
    <w:rsid w:val="00AF06E2"/>
    <w:rsid w:val="00AF0D3D"/>
    <w:rsid w:val="00AF353F"/>
    <w:rsid w:val="00B00C77"/>
    <w:rsid w:val="00B04647"/>
    <w:rsid w:val="00B2165C"/>
    <w:rsid w:val="00B21A6B"/>
    <w:rsid w:val="00B2585A"/>
    <w:rsid w:val="00B33EA6"/>
    <w:rsid w:val="00B40749"/>
    <w:rsid w:val="00B42D33"/>
    <w:rsid w:val="00B6418C"/>
    <w:rsid w:val="00B647AC"/>
    <w:rsid w:val="00B76646"/>
    <w:rsid w:val="00B83140"/>
    <w:rsid w:val="00B917FA"/>
    <w:rsid w:val="00B92FDB"/>
    <w:rsid w:val="00B92FEC"/>
    <w:rsid w:val="00B95306"/>
    <w:rsid w:val="00BA48D0"/>
    <w:rsid w:val="00BA7450"/>
    <w:rsid w:val="00BB1FF1"/>
    <w:rsid w:val="00BB5976"/>
    <w:rsid w:val="00BB763A"/>
    <w:rsid w:val="00BD42AD"/>
    <w:rsid w:val="00BE6CB3"/>
    <w:rsid w:val="00BE7626"/>
    <w:rsid w:val="00BF5AE6"/>
    <w:rsid w:val="00BF6E2A"/>
    <w:rsid w:val="00BF791F"/>
    <w:rsid w:val="00BF7EAE"/>
    <w:rsid w:val="00C00AB9"/>
    <w:rsid w:val="00C04127"/>
    <w:rsid w:val="00C24E53"/>
    <w:rsid w:val="00C52C18"/>
    <w:rsid w:val="00C52FDD"/>
    <w:rsid w:val="00C54BC5"/>
    <w:rsid w:val="00C55353"/>
    <w:rsid w:val="00C57CA8"/>
    <w:rsid w:val="00C64AF9"/>
    <w:rsid w:val="00C725B7"/>
    <w:rsid w:val="00C808FF"/>
    <w:rsid w:val="00C836E8"/>
    <w:rsid w:val="00C95B63"/>
    <w:rsid w:val="00C9659E"/>
    <w:rsid w:val="00CA3E95"/>
    <w:rsid w:val="00CA46DD"/>
    <w:rsid w:val="00CB02E9"/>
    <w:rsid w:val="00CB1836"/>
    <w:rsid w:val="00CB63C6"/>
    <w:rsid w:val="00CB7239"/>
    <w:rsid w:val="00CD3C58"/>
    <w:rsid w:val="00CD566B"/>
    <w:rsid w:val="00CD72AA"/>
    <w:rsid w:val="00CE7672"/>
    <w:rsid w:val="00CE7C23"/>
    <w:rsid w:val="00CF0BA7"/>
    <w:rsid w:val="00CF42DA"/>
    <w:rsid w:val="00D02A8B"/>
    <w:rsid w:val="00D03738"/>
    <w:rsid w:val="00D04632"/>
    <w:rsid w:val="00D1639F"/>
    <w:rsid w:val="00D17FCE"/>
    <w:rsid w:val="00D23093"/>
    <w:rsid w:val="00D25595"/>
    <w:rsid w:val="00D41E68"/>
    <w:rsid w:val="00D42B4E"/>
    <w:rsid w:val="00D712CE"/>
    <w:rsid w:val="00D80360"/>
    <w:rsid w:val="00D90E76"/>
    <w:rsid w:val="00DA2324"/>
    <w:rsid w:val="00DA5FBC"/>
    <w:rsid w:val="00DB09C4"/>
    <w:rsid w:val="00DC3A42"/>
    <w:rsid w:val="00DC5053"/>
    <w:rsid w:val="00DD634C"/>
    <w:rsid w:val="00DE1CE5"/>
    <w:rsid w:val="00DF186F"/>
    <w:rsid w:val="00DF73A1"/>
    <w:rsid w:val="00E03C89"/>
    <w:rsid w:val="00E10D68"/>
    <w:rsid w:val="00E12183"/>
    <w:rsid w:val="00E21F7E"/>
    <w:rsid w:val="00E21F86"/>
    <w:rsid w:val="00E2321B"/>
    <w:rsid w:val="00E23DF5"/>
    <w:rsid w:val="00E26312"/>
    <w:rsid w:val="00E47CA9"/>
    <w:rsid w:val="00E53B1A"/>
    <w:rsid w:val="00E63B7D"/>
    <w:rsid w:val="00E64FEF"/>
    <w:rsid w:val="00E701A0"/>
    <w:rsid w:val="00E96524"/>
    <w:rsid w:val="00EA535A"/>
    <w:rsid w:val="00EB3491"/>
    <w:rsid w:val="00EB41FF"/>
    <w:rsid w:val="00EB48EF"/>
    <w:rsid w:val="00EB6253"/>
    <w:rsid w:val="00ED7631"/>
    <w:rsid w:val="00F04F17"/>
    <w:rsid w:val="00F069B3"/>
    <w:rsid w:val="00F12144"/>
    <w:rsid w:val="00F124B2"/>
    <w:rsid w:val="00F24622"/>
    <w:rsid w:val="00F30916"/>
    <w:rsid w:val="00F4071A"/>
    <w:rsid w:val="00F45140"/>
    <w:rsid w:val="00F65A40"/>
    <w:rsid w:val="00F752FB"/>
    <w:rsid w:val="00F837A3"/>
    <w:rsid w:val="00FA0F44"/>
    <w:rsid w:val="00FA1822"/>
    <w:rsid w:val="00FA3A7D"/>
    <w:rsid w:val="00FA4C08"/>
    <w:rsid w:val="00FB2727"/>
    <w:rsid w:val="00FC0A40"/>
    <w:rsid w:val="00FD1284"/>
    <w:rsid w:val="00FD4B46"/>
    <w:rsid w:val="00FD6F4A"/>
    <w:rsid w:val="00FE2C0F"/>
    <w:rsid w:val="00FE512C"/>
    <w:rsid w:val="00FE72D5"/>
    <w:rsid w:val="00FE7A5C"/>
    <w:rsid w:val="00FF3E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C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CB"/>
    <w:pPr>
      <w:spacing w:before="120"/>
    </w:pPr>
    <w:rPr>
      <w:rFonts w:ascii="Times New Roman" w:eastAsiaTheme="minorEastAsia" w:hAnsi="Times New Roman"/>
      <w:sz w:val="28"/>
      <w:lang w:eastAsia="ru-RU"/>
    </w:rPr>
  </w:style>
  <w:style w:type="paragraph" w:styleId="Heading1">
    <w:name w:val="heading 1"/>
    <w:basedOn w:val="Normal"/>
    <w:next w:val="Normal"/>
    <w:link w:val="Heading1Char"/>
    <w:autoRedefine/>
    <w:uiPriority w:val="9"/>
    <w:qFormat/>
    <w:rsid w:val="00A745DC"/>
    <w:pPr>
      <w:keepNext/>
      <w:numPr>
        <w:numId w:val="17"/>
      </w:numPr>
      <w:spacing w:before="240" w:after="120" w:line="240" w:lineRule="auto"/>
      <w:outlineLvl w:val="0"/>
    </w:pPr>
    <w:rPr>
      <w:rFonts w:eastAsia="Times New Roman" w:cs="Times New Roman"/>
      <w:b/>
      <w:bCs/>
      <w:kern w:val="32"/>
      <w:szCs w:val="32"/>
      <w:lang w:eastAsia="en-US"/>
    </w:rPr>
  </w:style>
  <w:style w:type="paragraph" w:styleId="Heading2">
    <w:name w:val="heading 2"/>
    <w:basedOn w:val="Normal"/>
    <w:next w:val="Normal"/>
    <w:link w:val="Heading2Char"/>
    <w:uiPriority w:val="9"/>
    <w:qFormat/>
    <w:rsid w:val="00A745DC"/>
    <w:pPr>
      <w:keepNext/>
      <w:numPr>
        <w:ilvl w:val="1"/>
        <w:numId w:val="17"/>
      </w:numPr>
      <w:spacing w:after="60" w:line="240" w:lineRule="auto"/>
      <w:outlineLvl w:val="1"/>
    </w:pPr>
    <w:rPr>
      <w:rFonts w:eastAsia="Times New Roman" w:cs="Times New Roman"/>
      <w:b/>
      <w:bCs/>
      <w:iCs/>
      <w:sz w:val="24"/>
      <w:szCs w:val="28"/>
      <w:lang w:eastAsia="en-US"/>
    </w:rPr>
  </w:style>
  <w:style w:type="paragraph" w:styleId="Heading3">
    <w:name w:val="heading 3"/>
    <w:basedOn w:val="Normal"/>
    <w:next w:val="Normal"/>
    <w:link w:val="Heading3Char"/>
    <w:uiPriority w:val="9"/>
    <w:qFormat/>
    <w:rsid w:val="00A745DC"/>
    <w:pPr>
      <w:keepNext/>
      <w:numPr>
        <w:ilvl w:val="2"/>
        <w:numId w:val="17"/>
      </w:numPr>
      <w:spacing w:before="240" w:after="60" w:line="240" w:lineRule="auto"/>
      <w:outlineLvl w:val="2"/>
    </w:pPr>
    <w:rPr>
      <w:rFonts w:ascii="Cambria" w:eastAsia="Times New Roman" w:hAnsi="Cambria" w:cs="Times New Roman"/>
      <w:b/>
      <w:bCs/>
      <w:sz w:val="26"/>
      <w:szCs w:val="26"/>
      <w:lang w:eastAsia="en-US"/>
    </w:rPr>
  </w:style>
  <w:style w:type="paragraph" w:styleId="Heading4">
    <w:name w:val="heading 4"/>
    <w:basedOn w:val="Normal"/>
    <w:next w:val="Normal"/>
    <w:link w:val="Heading4Char"/>
    <w:uiPriority w:val="9"/>
    <w:qFormat/>
    <w:rsid w:val="00A745DC"/>
    <w:pPr>
      <w:keepNext/>
      <w:numPr>
        <w:ilvl w:val="3"/>
        <w:numId w:val="17"/>
      </w:numPr>
      <w:spacing w:before="240" w:after="60" w:line="240" w:lineRule="auto"/>
      <w:outlineLvl w:val="3"/>
    </w:pPr>
    <w:rPr>
      <w:rFonts w:ascii="Calibri" w:eastAsia="Times New Roman" w:hAnsi="Calibri" w:cs="Times New Roman"/>
      <w:b/>
      <w:bCs/>
      <w:szCs w:val="28"/>
      <w:lang w:eastAsia="en-US"/>
    </w:rPr>
  </w:style>
  <w:style w:type="paragraph" w:styleId="Heading5">
    <w:name w:val="heading 5"/>
    <w:basedOn w:val="Normal"/>
    <w:next w:val="Normal"/>
    <w:link w:val="Heading5Char"/>
    <w:uiPriority w:val="9"/>
    <w:qFormat/>
    <w:rsid w:val="00A745DC"/>
    <w:pPr>
      <w:numPr>
        <w:ilvl w:val="4"/>
        <w:numId w:val="17"/>
      </w:numPr>
      <w:spacing w:before="240" w:after="60" w:line="240" w:lineRule="auto"/>
      <w:outlineLvl w:val="4"/>
    </w:pPr>
    <w:rPr>
      <w:rFonts w:ascii="Calibri" w:eastAsia="Times New Roman" w:hAnsi="Calibri" w:cs="Times New Roman"/>
      <w:b/>
      <w:bCs/>
      <w:i/>
      <w:iCs/>
      <w:sz w:val="26"/>
      <w:szCs w:val="26"/>
      <w:lang w:eastAsia="en-US"/>
    </w:rPr>
  </w:style>
  <w:style w:type="paragraph" w:styleId="Heading6">
    <w:name w:val="heading 6"/>
    <w:basedOn w:val="Normal"/>
    <w:next w:val="Normal"/>
    <w:link w:val="Heading6Char"/>
    <w:uiPriority w:val="9"/>
    <w:qFormat/>
    <w:rsid w:val="00A745DC"/>
    <w:pPr>
      <w:numPr>
        <w:ilvl w:val="5"/>
        <w:numId w:val="17"/>
      </w:numPr>
      <w:spacing w:before="240" w:after="60" w:line="240" w:lineRule="auto"/>
      <w:outlineLvl w:val="5"/>
    </w:pPr>
    <w:rPr>
      <w:rFonts w:ascii="Calibri" w:eastAsia="Times New Roman" w:hAnsi="Calibri" w:cs="Times New Roman"/>
      <w:b/>
      <w:bCs/>
      <w:sz w:val="22"/>
      <w:lang w:eastAsia="en-US"/>
    </w:rPr>
  </w:style>
  <w:style w:type="paragraph" w:styleId="Heading7">
    <w:name w:val="heading 7"/>
    <w:basedOn w:val="Normal"/>
    <w:next w:val="Normal"/>
    <w:link w:val="Heading7Char"/>
    <w:uiPriority w:val="9"/>
    <w:qFormat/>
    <w:rsid w:val="00A745DC"/>
    <w:pPr>
      <w:numPr>
        <w:ilvl w:val="6"/>
        <w:numId w:val="17"/>
      </w:numPr>
      <w:spacing w:before="240" w:after="60" w:line="240" w:lineRule="auto"/>
      <w:outlineLvl w:val="6"/>
    </w:pPr>
    <w:rPr>
      <w:rFonts w:ascii="Calibri" w:eastAsia="Times New Roman" w:hAnsi="Calibri" w:cs="Times New Roman"/>
      <w:sz w:val="24"/>
      <w:szCs w:val="24"/>
      <w:lang w:eastAsia="en-US"/>
    </w:rPr>
  </w:style>
  <w:style w:type="paragraph" w:styleId="Heading8">
    <w:name w:val="heading 8"/>
    <w:basedOn w:val="Normal"/>
    <w:next w:val="Normal"/>
    <w:link w:val="Heading8Char"/>
    <w:uiPriority w:val="9"/>
    <w:qFormat/>
    <w:rsid w:val="00A745DC"/>
    <w:pPr>
      <w:numPr>
        <w:ilvl w:val="7"/>
        <w:numId w:val="17"/>
      </w:numPr>
      <w:spacing w:before="240" w:after="60" w:line="240" w:lineRule="auto"/>
      <w:outlineLvl w:val="7"/>
    </w:pPr>
    <w:rPr>
      <w:rFonts w:ascii="Calibri" w:eastAsia="Times New Roman" w:hAnsi="Calibri" w:cs="Times New Roman"/>
      <w:i/>
      <w:iCs/>
      <w:sz w:val="24"/>
      <w:szCs w:val="24"/>
      <w:lang w:eastAsia="en-US"/>
    </w:rPr>
  </w:style>
  <w:style w:type="paragraph" w:styleId="Heading9">
    <w:name w:val="heading 9"/>
    <w:basedOn w:val="Normal"/>
    <w:next w:val="Normal"/>
    <w:link w:val="Heading9Char"/>
    <w:uiPriority w:val="9"/>
    <w:qFormat/>
    <w:rsid w:val="00A745DC"/>
    <w:pPr>
      <w:numPr>
        <w:ilvl w:val="8"/>
        <w:numId w:val="17"/>
      </w:numPr>
      <w:spacing w:before="240" w:after="60" w:line="240" w:lineRule="auto"/>
      <w:outlineLvl w:val="8"/>
    </w:pPr>
    <w:rPr>
      <w:rFonts w:ascii="Cambria" w:eastAsia="Times New Roman" w:hAnsi="Cambria"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BCB"/>
    <w:pPr>
      <w:spacing w:after="0" w:line="240" w:lineRule="auto"/>
    </w:pPr>
  </w:style>
  <w:style w:type="character" w:customStyle="1" w:styleId="apple-style-span">
    <w:name w:val="apple-style-span"/>
    <w:basedOn w:val="DefaultParagraphFont"/>
    <w:rsid w:val="003D5BCB"/>
  </w:style>
  <w:style w:type="paragraph" w:styleId="ListParagraph">
    <w:name w:val="List Paragraph"/>
    <w:basedOn w:val="Normal"/>
    <w:uiPriority w:val="34"/>
    <w:qFormat/>
    <w:rsid w:val="000518A6"/>
    <w:pPr>
      <w:ind w:left="720"/>
      <w:contextualSpacing/>
    </w:pPr>
  </w:style>
  <w:style w:type="character" w:styleId="Hyperlink">
    <w:name w:val="Hyperlink"/>
    <w:basedOn w:val="DefaultParagraphFont"/>
    <w:uiPriority w:val="99"/>
    <w:unhideWhenUsed/>
    <w:rsid w:val="005524AC"/>
    <w:rPr>
      <w:color w:val="0000FF" w:themeColor="hyperlink"/>
      <w:u w:val="single"/>
    </w:rPr>
  </w:style>
  <w:style w:type="paragraph" w:styleId="BalloonText">
    <w:name w:val="Balloon Text"/>
    <w:basedOn w:val="Normal"/>
    <w:link w:val="BalloonTextChar"/>
    <w:uiPriority w:val="99"/>
    <w:semiHidden/>
    <w:unhideWhenUsed/>
    <w:rsid w:val="00435E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EC3"/>
    <w:rPr>
      <w:rFonts w:ascii="Tahoma" w:eastAsiaTheme="minorEastAsia" w:hAnsi="Tahoma" w:cs="Tahoma"/>
      <w:sz w:val="16"/>
      <w:szCs w:val="16"/>
      <w:lang w:eastAsia="ru-RU"/>
    </w:rPr>
  </w:style>
  <w:style w:type="paragraph" w:styleId="Header">
    <w:name w:val="header"/>
    <w:basedOn w:val="Normal"/>
    <w:link w:val="HeaderChar"/>
    <w:uiPriority w:val="99"/>
    <w:unhideWhenUsed/>
    <w:rsid w:val="00E21F7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E21F7E"/>
    <w:rPr>
      <w:rFonts w:ascii="Times New Roman" w:eastAsiaTheme="minorEastAsia" w:hAnsi="Times New Roman"/>
      <w:sz w:val="28"/>
      <w:lang w:eastAsia="ru-RU"/>
    </w:rPr>
  </w:style>
  <w:style w:type="paragraph" w:styleId="Footer">
    <w:name w:val="footer"/>
    <w:basedOn w:val="Normal"/>
    <w:link w:val="FooterChar"/>
    <w:uiPriority w:val="99"/>
    <w:unhideWhenUsed/>
    <w:rsid w:val="00E21F7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E21F7E"/>
    <w:rPr>
      <w:rFonts w:ascii="Times New Roman" w:eastAsiaTheme="minorEastAsia" w:hAnsi="Times New Roman"/>
      <w:sz w:val="28"/>
      <w:lang w:eastAsia="ru-RU"/>
    </w:rPr>
  </w:style>
  <w:style w:type="paragraph" w:styleId="FootnoteText">
    <w:name w:val="footnote text"/>
    <w:basedOn w:val="Normal"/>
    <w:link w:val="FootnoteTextChar"/>
    <w:uiPriority w:val="99"/>
    <w:unhideWhenUsed/>
    <w:rsid w:val="00991211"/>
    <w:pPr>
      <w:spacing w:before="0" w:after="0" w:line="240" w:lineRule="auto"/>
    </w:pPr>
    <w:rPr>
      <w:sz w:val="24"/>
      <w:szCs w:val="24"/>
    </w:rPr>
  </w:style>
  <w:style w:type="character" w:customStyle="1" w:styleId="FootnoteTextChar">
    <w:name w:val="Footnote Text Char"/>
    <w:basedOn w:val="DefaultParagraphFont"/>
    <w:link w:val="FootnoteText"/>
    <w:uiPriority w:val="99"/>
    <w:rsid w:val="00991211"/>
    <w:rPr>
      <w:rFonts w:ascii="Times New Roman" w:eastAsiaTheme="minorEastAsia" w:hAnsi="Times New Roman"/>
      <w:sz w:val="24"/>
      <w:szCs w:val="24"/>
      <w:lang w:eastAsia="ru-RU"/>
    </w:rPr>
  </w:style>
  <w:style w:type="character" w:styleId="FootnoteReference">
    <w:name w:val="footnote reference"/>
    <w:basedOn w:val="DefaultParagraphFont"/>
    <w:unhideWhenUsed/>
    <w:rsid w:val="00991211"/>
    <w:rPr>
      <w:vertAlign w:val="superscript"/>
    </w:rPr>
  </w:style>
  <w:style w:type="paragraph" w:styleId="NormalWeb">
    <w:name w:val="Normal (Web)"/>
    <w:basedOn w:val="Normal"/>
    <w:uiPriority w:val="99"/>
    <w:semiHidden/>
    <w:unhideWhenUsed/>
    <w:rsid w:val="00D41E68"/>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E2321B"/>
    <w:rPr>
      <w:color w:val="800080" w:themeColor="followedHyperlink"/>
      <w:u w:val="single"/>
    </w:rPr>
  </w:style>
  <w:style w:type="character" w:customStyle="1" w:styleId="Heading1Char">
    <w:name w:val="Heading 1 Char"/>
    <w:basedOn w:val="DefaultParagraphFont"/>
    <w:link w:val="Heading1"/>
    <w:uiPriority w:val="9"/>
    <w:rsid w:val="00A745DC"/>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A745DC"/>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A745D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74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74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745DC"/>
    <w:rPr>
      <w:rFonts w:ascii="Calibri" w:eastAsia="Times New Roman" w:hAnsi="Calibri" w:cs="Times New Roman"/>
      <w:b/>
      <w:bCs/>
    </w:rPr>
  </w:style>
  <w:style w:type="character" w:customStyle="1" w:styleId="Heading7Char">
    <w:name w:val="Heading 7 Char"/>
    <w:basedOn w:val="DefaultParagraphFont"/>
    <w:link w:val="Heading7"/>
    <w:uiPriority w:val="9"/>
    <w:rsid w:val="00A745D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A745D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A745DC"/>
    <w:rPr>
      <w:rFonts w:ascii="Cambria" w:eastAsia="Times New Roman" w:hAnsi="Cambria" w:cs="Times New Roman"/>
    </w:rPr>
  </w:style>
  <w:style w:type="character" w:styleId="PageNumber">
    <w:name w:val="page number"/>
    <w:basedOn w:val="DefaultParagraphFont"/>
    <w:uiPriority w:val="99"/>
    <w:semiHidden/>
    <w:unhideWhenUsed/>
    <w:rsid w:val="006828FC"/>
  </w:style>
  <w:style w:type="paragraph" w:customStyle="1" w:styleId="FR1">
    <w:name w:val="FR1"/>
    <w:rsid w:val="00651A1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651A12"/>
    <w:pPr>
      <w:autoSpaceDE w:val="0"/>
      <w:autoSpaceDN w:val="0"/>
      <w:adjustRightInd w:val="0"/>
      <w:spacing w:before="35" w:after="0" w:line="240" w:lineRule="auto"/>
      <w:ind w:right="278"/>
    </w:pPr>
    <w:rPr>
      <w:rFonts w:eastAsia="Times New Roman" w:cs="Times New Roman"/>
      <w:sz w:val="24"/>
      <w:szCs w:val="18"/>
    </w:rPr>
  </w:style>
  <w:style w:type="character" w:customStyle="1" w:styleId="BodyText2Char">
    <w:name w:val="Body Text 2 Char"/>
    <w:basedOn w:val="DefaultParagraphFont"/>
    <w:link w:val="BodyText2"/>
    <w:rsid w:val="00651A12"/>
    <w:rPr>
      <w:rFonts w:ascii="Times New Roman" w:eastAsia="Times New Roman" w:hAnsi="Times New Roman" w:cs="Times New Roman"/>
      <w:sz w:val="24"/>
      <w:szCs w:val="1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CB"/>
    <w:pPr>
      <w:spacing w:before="120"/>
    </w:pPr>
    <w:rPr>
      <w:rFonts w:ascii="Times New Roman" w:eastAsiaTheme="minorEastAsia" w:hAnsi="Times New Roman"/>
      <w:sz w:val="28"/>
      <w:lang w:eastAsia="ru-RU"/>
    </w:rPr>
  </w:style>
  <w:style w:type="paragraph" w:styleId="Heading1">
    <w:name w:val="heading 1"/>
    <w:basedOn w:val="Normal"/>
    <w:next w:val="Normal"/>
    <w:link w:val="Heading1Char"/>
    <w:autoRedefine/>
    <w:uiPriority w:val="9"/>
    <w:qFormat/>
    <w:rsid w:val="00A745DC"/>
    <w:pPr>
      <w:keepNext/>
      <w:numPr>
        <w:numId w:val="17"/>
      </w:numPr>
      <w:spacing w:before="240" w:after="120" w:line="240" w:lineRule="auto"/>
      <w:outlineLvl w:val="0"/>
    </w:pPr>
    <w:rPr>
      <w:rFonts w:eastAsia="Times New Roman" w:cs="Times New Roman"/>
      <w:b/>
      <w:bCs/>
      <w:kern w:val="32"/>
      <w:szCs w:val="32"/>
      <w:lang w:eastAsia="en-US"/>
    </w:rPr>
  </w:style>
  <w:style w:type="paragraph" w:styleId="Heading2">
    <w:name w:val="heading 2"/>
    <w:basedOn w:val="Normal"/>
    <w:next w:val="Normal"/>
    <w:link w:val="Heading2Char"/>
    <w:uiPriority w:val="9"/>
    <w:qFormat/>
    <w:rsid w:val="00A745DC"/>
    <w:pPr>
      <w:keepNext/>
      <w:numPr>
        <w:ilvl w:val="1"/>
        <w:numId w:val="17"/>
      </w:numPr>
      <w:spacing w:after="60" w:line="240" w:lineRule="auto"/>
      <w:outlineLvl w:val="1"/>
    </w:pPr>
    <w:rPr>
      <w:rFonts w:eastAsia="Times New Roman" w:cs="Times New Roman"/>
      <w:b/>
      <w:bCs/>
      <w:iCs/>
      <w:sz w:val="24"/>
      <w:szCs w:val="28"/>
      <w:lang w:eastAsia="en-US"/>
    </w:rPr>
  </w:style>
  <w:style w:type="paragraph" w:styleId="Heading3">
    <w:name w:val="heading 3"/>
    <w:basedOn w:val="Normal"/>
    <w:next w:val="Normal"/>
    <w:link w:val="Heading3Char"/>
    <w:uiPriority w:val="9"/>
    <w:qFormat/>
    <w:rsid w:val="00A745DC"/>
    <w:pPr>
      <w:keepNext/>
      <w:numPr>
        <w:ilvl w:val="2"/>
        <w:numId w:val="17"/>
      </w:numPr>
      <w:spacing w:before="240" w:after="60" w:line="240" w:lineRule="auto"/>
      <w:outlineLvl w:val="2"/>
    </w:pPr>
    <w:rPr>
      <w:rFonts w:ascii="Cambria" w:eastAsia="Times New Roman" w:hAnsi="Cambria" w:cs="Times New Roman"/>
      <w:b/>
      <w:bCs/>
      <w:sz w:val="26"/>
      <w:szCs w:val="26"/>
      <w:lang w:eastAsia="en-US"/>
    </w:rPr>
  </w:style>
  <w:style w:type="paragraph" w:styleId="Heading4">
    <w:name w:val="heading 4"/>
    <w:basedOn w:val="Normal"/>
    <w:next w:val="Normal"/>
    <w:link w:val="Heading4Char"/>
    <w:uiPriority w:val="9"/>
    <w:qFormat/>
    <w:rsid w:val="00A745DC"/>
    <w:pPr>
      <w:keepNext/>
      <w:numPr>
        <w:ilvl w:val="3"/>
        <w:numId w:val="17"/>
      </w:numPr>
      <w:spacing w:before="240" w:after="60" w:line="240" w:lineRule="auto"/>
      <w:outlineLvl w:val="3"/>
    </w:pPr>
    <w:rPr>
      <w:rFonts w:ascii="Calibri" w:eastAsia="Times New Roman" w:hAnsi="Calibri" w:cs="Times New Roman"/>
      <w:b/>
      <w:bCs/>
      <w:szCs w:val="28"/>
      <w:lang w:eastAsia="en-US"/>
    </w:rPr>
  </w:style>
  <w:style w:type="paragraph" w:styleId="Heading5">
    <w:name w:val="heading 5"/>
    <w:basedOn w:val="Normal"/>
    <w:next w:val="Normal"/>
    <w:link w:val="Heading5Char"/>
    <w:uiPriority w:val="9"/>
    <w:qFormat/>
    <w:rsid w:val="00A745DC"/>
    <w:pPr>
      <w:numPr>
        <w:ilvl w:val="4"/>
        <w:numId w:val="17"/>
      </w:numPr>
      <w:spacing w:before="240" w:after="60" w:line="240" w:lineRule="auto"/>
      <w:outlineLvl w:val="4"/>
    </w:pPr>
    <w:rPr>
      <w:rFonts w:ascii="Calibri" w:eastAsia="Times New Roman" w:hAnsi="Calibri" w:cs="Times New Roman"/>
      <w:b/>
      <w:bCs/>
      <w:i/>
      <w:iCs/>
      <w:sz w:val="26"/>
      <w:szCs w:val="26"/>
      <w:lang w:eastAsia="en-US"/>
    </w:rPr>
  </w:style>
  <w:style w:type="paragraph" w:styleId="Heading6">
    <w:name w:val="heading 6"/>
    <w:basedOn w:val="Normal"/>
    <w:next w:val="Normal"/>
    <w:link w:val="Heading6Char"/>
    <w:uiPriority w:val="9"/>
    <w:qFormat/>
    <w:rsid w:val="00A745DC"/>
    <w:pPr>
      <w:numPr>
        <w:ilvl w:val="5"/>
        <w:numId w:val="17"/>
      </w:numPr>
      <w:spacing w:before="240" w:after="60" w:line="240" w:lineRule="auto"/>
      <w:outlineLvl w:val="5"/>
    </w:pPr>
    <w:rPr>
      <w:rFonts w:ascii="Calibri" w:eastAsia="Times New Roman" w:hAnsi="Calibri" w:cs="Times New Roman"/>
      <w:b/>
      <w:bCs/>
      <w:sz w:val="22"/>
      <w:lang w:eastAsia="en-US"/>
    </w:rPr>
  </w:style>
  <w:style w:type="paragraph" w:styleId="Heading7">
    <w:name w:val="heading 7"/>
    <w:basedOn w:val="Normal"/>
    <w:next w:val="Normal"/>
    <w:link w:val="Heading7Char"/>
    <w:uiPriority w:val="9"/>
    <w:qFormat/>
    <w:rsid w:val="00A745DC"/>
    <w:pPr>
      <w:numPr>
        <w:ilvl w:val="6"/>
        <w:numId w:val="17"/>
      </w:numPr>
      <w:spacing w:before="240" w:after="60" w:line="240" w:lineRule="auto"/>
      <w:outlineLvl w:val="6"/>
    </w:pPr>
    <w:rPr>
      <w:rFonts w:ascii="Calibri" w:eastAsia="Times New Roman" w:hAnsi="Calibri" w:cs="Times New Roman"/>
      <w:sz w:val="24"/>
      <w:szCs w:val="24"/>
      <w:lang w:eastAsia="en-US"/>
    </w:rPr>
  </w:style>
  <w:style w:type="paragraph" w:styleId="Heading8">
    <w:name w:val="heading 8"/>
    <w:basedOn w:val="Normal"/>
    <w:next w:val="Normal"/>
    <w:link w:val="Heading8Char"/>
    <w:uiPriority w:val="9"/>
    <w:qFormat/>
    <w:rsid w:val="00A745DC"/>
    <w:pPr>
      <w:numPr>
        <w:ilvl w:val="7"/>
        <w:numId w:val="17"/>
      </w:numPr>
      <w:spacing w:before="240" w:after="60" w:line="240" w:lineRule="auto"/>
      <w:outlineLvl w:val="7"/>
    </w:pPr>
    <w:rPr>
      <w:rFonts w:ascii="Calibri" w:eastAsia="Times New Roman" w:hAnsi="Calibri" w:cs="Times New Roman"/>
      <w:i/>
      <w:iCs/>
      <w:sz w:val="24"/>
      <w:szCs w:val="24"/>
      <w:lang w:eastAsia="en-US"/>
    </w:rPr>
  </w:style>
  <w:style w:type="paragraph" w:styleId="Heading9">
    <w:name w:val="heading 9"/>
    <w:basedOn w:val="Normal"/>
    <w:next w:val="Normal"/>
    <w:link w:val="Heading9Char"/>
    <w:uiPriority w:val="9"/>
    <w:qFormat/>
    <w:rsid w:val="00A745DC"/>
    <w:pPr>
      <w:numPr>
        <w:ilvl w:val="8"/>
        <w:numId w:val="17"/>
      </w:numPr>
      <w:spacing w:before="240" w:after="60" w:line="240" w:lineRule="auto"/>
      <w:outlineLvl w:val="8"/>
    </w:pPr>
    <w:rPr>
      <w:rFonts w:ascii="Cambria" w:eastAsia="Times New Roman" w:hAnsi="Cambria"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BCB"/>
    <w:pPr>
      <w:spacing w:after="0" w:line="240" w:lineRule="auto"/>
    </w:pPr>
  </w:style>
  <w:style w:type="character" w:customStyle="1" w:styleId="apple-style-span">
    <w:name w:val="apple-style-span"/>
    <w:basedOn w:val="DefaultParagraphFont"/>
    <w:rsid w:val="003D5BCB"/>
  </w:style>
  <w:style w:type="paragraph" w:styleId="ListParagraph">
    <w:name w:val="List Paragraph"/>
    <w:basedOn w:val="Normal"/>
    <w:uiPriority w:val="34"/>
    <w:qFormat/>
    <w:rsid w:val="000518A6"/>
    <w:pPr>
      <w:ind w:left="720"/>
      <w:contextualSpacing/>
    </w:pPr>
  </w:style>
  <w:style w:type="character" w:styleId="Hyperlink">
    <w:name w:val="Hyperlink"/>
    <w:basedOn w:val="DefaultParagraphFont"/>
    <w:uiPriority w:val="99"/>
    <w:unhideWhenUsed/>
    <w:rsid w:val="005524AC"/>
    <w:rPr>
      <w:color w:val="0000FF" w:themeColor="hyperlink"/>
      <w:u w:val="single"/>
    </w:rPr>
  </w:style>
  <w:style w:type="paragraph" w:styleId="BalloonText">
    <w:name w:val="Balloon Text"/>
    <w:basedOn w:val="Normal"/>
    <w:link w:val="BalloonTextChar"/>
    <w:uiPriority w:val="99"/>
    <w:semiHidden/>
    <w:unhideWhenUsed/>
    <w:rsid w:val="00435E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EC3"/>
    <w:rPr>
      <w:rFonts w:ascii="Tahoma" w:eastAsiaTheme="minorEastAsia" w:hAnsi="Tahoma" w:cs="Tahoma"/>
      <w:sz w:val="16"/>
      <w:szCs w:val="16"/>
      <w:lang w:eastAsia="ru-RU"/>
    </w:rPr>
  </w:style>
  <w:style w:type="paragraph" w:styleId="Header">
    <w:name w:val="header"/>
    <w:basedOn w:val="Normal"/>
    <w:link w:val="HeaderChar"/>
    <w:uiPriority w:val="99"/>
    <w:unhideWhenUsed/>
    <w:rsid w:val="00E21F7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E21F7E"/>
    <w:rPr>
      <w:rFonts w:ascii="Times New Roman" w:eastAsiaTheme="minorEastAsia" w:hAnsi="Times New Roman"/>
      <w:sz w:val="28"/>
      <w:lang w:eastAsia="ru-RU"/>
    </w:rPr>
  </w:style>
  <w:style w:type="paragraph" w:styleId="Footer">
    <w:name w:val="footer"/>
    <w:basedOn w:val="Normal"/>
    <w:link w:val="FooterChar"/>
    <w:uiPriority w:val="99"/>
    <w:unhideWhenUsed/>
    <w:rsid w:val="00E21F7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E21F7E"/>
    <w:rPr>
      <w:rFonts w:ascii="Times New Roman" w:eastAsiaTheme="minorEastAsia" w:hAnsi="Times New Roman"/>
      <w:sz w:val="28"/>
      <w:lang w:eastAsia="ru-RU"/>
    </w:rPr>
  </w:style>
  <w:style w:type="paragraph" w:styleId="FootnoteText">
    <w:name w:val="footnote text"/>
    <w:basedOn w:val="Normal"/>
    <w:link w:val="FootnoteTextChar"/>
    <w:uiPriority w:val="99"/>
    <w:unhideWhenUsed/>
    <w:rsid w:val="00991211"/>
    <w:pPr>
      <w:spacing w:before="0" w:after="0" w:line="240" w:lineRule="auto"/>
    </w:pPr>
    <w:rPr>
      <w:sz w:val="24"/>
      <w:szCs w:val="24"/>
    </w:rPr>
  </w:style>
  <w:style w:type="character" w:customStyle="1" w:styleId="FootnoteTextChar">
    <w:name w:val="Footnote Text Char"/>
    <w:basedOn w:val="DefaultParagraphFont"/>
    <w:link w:val="FootnoteText"/>
    <w:uiPriority w:val="99"/>
    <w:rsid w:val="00991211"/>
    <w:rPr>
      <w:rFonts w:ascii="Times New Roman" w:eastAsiaTheme="minorEastAsia" w:hAnsi="Times New Roman"/>
      <w:sz w:val="24"/>
      <w:szCs w:val="24"/>
      <w:lang w:eastAsia="ru-RU"/>
    </w:rPr>
  </w:style>
  <w:style w:type="character" w:styleId="FootnoteReference">
    <w:name w:val="footnote reference"/>
    <w:basedOn w:val="DefaultParagraphFont"/>
    <w:unhideWhenUsed/>
    <w:rsid w:val="00991211"/>
    <w:rPr>
      <w:vertAlign w:val="superscript"/>
    </w:rPr>
  </w:style>
  <w:style w:type="paragraph" w:styleId="NormalWeb">
    <w:name w:val="Normal (Web)"/>
    <w:basedOn w:val="Normal"/>
    <w:uiPriority w:val="99"/>
    <w:semiHidden/>
    <w:unhideWhenUsed/>
    <w:rsid w:val="00D41E68"/>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E2321B"/>
    <w:rPr>
      <w:color w:val="800080" w:themeColor="followedHyperlink"/>
      <w:u w:val="single"/>
    </w:rPr>
  </w:style>
  <w:style w:type="character" w:customStyle="1" w:styleId="Heading1Char">
    <w:name w:val="Heading 1 Char"/>
    <w:basedOn w:val="DefaultParagraphFont"/>
    <w:link w:val="Heading1"/>
    <w:uiPriority w:val="9"/>
    <w:rsid w:val="00A745DC"/>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A745DC"/>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A745D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74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74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745DC"/>
    <w:rPr>
      <w:rFonts w:ascii="Calibri" w:eastAsia="Times New Roman" w:hAnsi="Calibri" w:cs="Times New Roman"/>
      <w:b/>
      <w:bCs/>
    </w:rPr>
  </w:style>
  <w:style w:type="character" w:customStyle="1" w:styleId="Heading7Char">
    <w:name w:val="Heading 7 Char"/>
    <w:basedOn w:val="DefaultParagraphFont"/>
    <w:link w:val="Heading7"/>
    <w:uiPriority w:val="9"/>
    <w:rsid w:val="00A745D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A745D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A745DC"/>
    <w:rPr>
      <w:rFonts w:ascii="Cambria" w:eastAsia="Times New Roman" w:hAnsi="Cambria" w:cs="Times New Roman"/>
    </w:rPr>
  </w:style>
  <w:style w:type="character" w:styleId="PageNumber">
    <w:name w:val="page number"/>
    <w:basedOn w:val="DefaultParagraphFont"/>
    <w:uiPriority w:val="99"/>
    <w:semiHidden/>
    <w:unhideWhenUsed/>
    <w:rsid w:val="006828FC"/>
  </w:style>
  <w:style w:type="paragraph" w:customStyle="1" w:styleId="FR1">
    <w:name w:val="FR1"/>
    <w:rsid w:val="00651A1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651A12"/>
    <w:pPr>
      <w:autoSpaceDE w:val="0"/>
      <w:autoSpaceDN w:val="0"/>
      <w:adjustRightInd w:val="0"/>
      <w:spacing w:before="35" w:after="0" w:line="240" w:lineRule="auto"/>
      <w:ind w:right="278"/>
    </w:pPr>
    <w:rPr>
      <w:rFonts w:eastAsia="Times New Roman" w:cs="Times New Roman"/>
      <w:sz w:val="24"/>
      <w:szCs w:val="18"/>
    </w:rPr>
  </w:style>
  <w:style w:type="character" w:customStyle="1" w:styleId="BodyText2Char">
    <w:name w:val="Body Text 2 Char"/>
    <w:basedOn w:val="DefaultParagraphFont"/>
    <w:link w:val="BodyText2"/>
    <w:rsid w:val="00651A12"/>
    <w:rPr>
      <w:rFonts w:ascii="Times New Roman" w:eastAsia="Times New Roman" w:hAnsi="Times New Roman" w:cs="Times New Roman"/>
      <w:sz w:val="24"/>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11770">
      <w:bodyDiv w:val="1"/>
      <w:marLeft w:val="0"/>
      <w:marRight w:val="0"/>
      <w:marTop w:val="0"/>
      <w:marBottom w:val="0"/>
      <w:divBdr>
        <w:top w:val="none" w:sz="0" w:space="0" w:color="auto"/>
        <w:left w:val="none" w:sz="0" w:space="0" w:color="auto"/>
        <w:bottom w:val="none" w:sz="0" w:space="0" w:color="auto"/>
        <w:right w:val="none" w:sz="0" w:space="0" w:color="auto"/>
      </w:divBdr>
    </w:div>
    <w:div w:id="1373924741">
      <w:bodyDiv w:val="1"/>
      <w:marLeft w:val="0"/>
      <w:marRight w:val="0"/>
      <w:marTop w:val="0"/>
      <w:marBottom w:val="0"/>
      <w:divBdr>
        <w:top w:val="none" w:sz="0" w:space="0" w:color="auto"/>
        <w:left w:val="none" w:sz="0" w:space="0" w:color="auto"/>
        <w:bottom w:val="none" w:sz="0" w:space="0" w:color="auto"/>
        <w:right w:val="none" w:sz="0" w:space="0" w:color="auto"/>
      </w:divBdr>
    </w:div>
    <w:div w:id="20757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mercercapital.com/the-outlook-for-bank-ma-in-2013/" TargetMode="External"/><Relationship Id="rId20" Type="http://schemas.openxmlformats.org/officeDocument/2006/relationships/hyperlink" Target="http://www.cbr.ru/publ/MoneyAndCredit/ribin.pdf" TargetMode="External"/><Relationship Id="rId21" Type="http://schemas.openxmlformats.org/officeDocument/2006/relationships/hyperlink" Target="http://www.raiffeisen.ru/common/img/uploaded/files/about/annualreport/impexbank/2006.pdf" TargetMode="External"/><Relationship Id="rId22" Type="http://schemas.openxmlformats.org/officeDocument/2006/relationships/hyperlink" Target="http://www.raiffeisen.ru/common/img/uploaded/files/about/annualreport/raiffeisen-annual11-ru_05.pdf" TargetMode="External"/><Relationship Id="rId23" Type="http://schemas.openxmlformats.org/officeDocument/2006/relationships/hyperlink" Target="http://www.ma-journal.ru" TargetMode="External"/><Relationship Id="rId24" Type="http://schemas.openxmlformats.org/officeDocument/2006/relationships/hyperlink" Target="http://www.raiffeisen.ru/common/img/uploaded/files/about/annualreport/raiffeisen-annual11-ru_05.pdf" TargetMode="External"/><Relationship Id="rId25" Type="http://schemas.openxmlformats.org/officeDocument/2006/relationships/hyperlink" Target="http://www.raiffeisen.ru/common/img/uploaded/files/about/annualreport/Raiffeisen_AR2007_rus_segment.pdf" TargetMode="External"/><Relationship Id="rId26" Type="http://schemas.openxmlformats.org/officeDocument/2006/relationships/hyperlink" Target="http://www.raiffeisen.ru/common/img/uploaded/files/about/annualreport/raiffeisen-annual11-ru_05.pdf" TargetMode="External"/><Relationship Id="rId27" Type="http://schemas.openxmlformats.org/officeDocument/2006/relationships/hyperlink" Target="http://www.cbr.ru/publ/MoneyAndCredit/ribin.pdf" TargetMode="External"/><Relationship Id="rId10" Type="http://schemas.openxmlformats.org/officeDocument/2006/relationships/hyperlink" Target="http://www.deloitte.com/assets/Dcom-UnitedStates/Local%20Assets/Documents/FSI/US_FSI_2013BankingIndustryOutlook_pdf_111212.pdf" TargetMode="External"/><Relationship Id="rId11" Type="http://schemas.openxmlformats.org/officeDocument/2006/relationships/hyperlink" Target="http://www.grantthornton.com/staticfiles/GTCom/Financial%20services/FSandFI%20files/Cautious%20optimism%20returns%20to%20bank%20M&amp;A-Bank%20Director-Grant%20Thornton.pdf" TargetMode="External"/><Relationship Id="rId12" Type="http://schemas.openxmlformats.org/officeDocument/2006/relationships/hyperlink" Target="http://www.kpmg.com/US/en/IssuesAndInsights/ArticlesPublications/Documents/community-banking-survey-2012.pdf" TargetMode="External"/><Relationship Id="rId13" Type="http://schemas.openxmlformats.org/officeDocument/2006/relationships/hyperlink" Target="http://www.accenture.com/us-en/Pages/service-banking-mergers-acquisitions-summary.aspx" TargetMode="External"/><Relationship Id="rId14" Type="http://schemas.openxmlformats.org/officeDocument/2006/relationships/hyperlink" Target="http://www.akm.ru/rus/ma/stat/2013/05.htm" TargetMode="External"/><Relationship Id="rId15" Type="http://schemas.openxmlformats.org/officeDocument/2006/relationships/hyperlink" Target="http://www.pwc.ru/en/press-releases/2013/banking_m_a_apr_2013.jhtml" TargetMode="External"/><Relationship Id="rId16" Type="http://schemas.openxmlformats.org/officeDocument/2006/relationships/hyperlink" Target="http://www.cbr.ru/publ/MoneyAndCredit/ribin.pdf" TargetMode="External"/><Relationship Id="rId17" Type="http://schemas.openxmlformats.org/officeDocument/2006/relationships/hyperlink" Target="http://www.cbr.ru/publ/MoneyAndCredit/ribin.pdf" TargetMode="External"/><Relationship Id="rId18" Type="http://schemas.openxmlformats.org/officeDocument/2006/relationships/hyperlink" Target="http://www.vtb.ru/upload/iblock/109/VTB_Annual%20Report_2011_rus_20130128.pdf" TargetMode="External"/><Relationship Id="rId19" Type="http://schemas.openxmlformats.org/officeDocument/2006/relationships/hyperlink" Target="http://www.grantthornton.com/staticfiles/GTCom/Financial%20services/FSandFI%20files/Cautious%20optimism%20returns%20to%20bank%20M&amp;A-Bank%20Director-Grant%20Thornton.pdf" TargetMode="External"/><Relationship Id="rId1" Type="http://schemas.openxmlformats.org/officeDocument/2006/relationships/hyperlink" Target="http://www.pwc.ru/en/press-releases/2013/banking_m_a_apr_2013.jhtml" TargetMode="External"/><Relationship Id="rId2" Type="http://schemas.openxmlformats.org/officeDocument/2006/relationships/hyperlink" Target="http://www.cfin.ru/investor/mabanks-0.shtml" TargetMode="External"/><Relationship Id="rId3" Type="http://schemas.openxmlformats.org/officeDocument/2006/relationships/hyperlink" Target="http://www.accenture.com/us-en/Pages/service-banking-mergers-acquisitions-summary.aspx" TargetMode="External"/><Relationship Id="rId4" Type="http://schemas.openxmlformats.org/officeDocument/2006/relationships/hyperlink" Target="http://vid1.rian.ru/ig/ratings/b_banki_12.pdf" TargetMode="External"/><Relationship Id="rId5" Type="http://schemas.openxmlformats.org/officeDocument/2006/relationships/hyperlink" Target="http://www.gks.ru" TargetMode="External"/><Relationship Id="rId6" Type="http://schemas.openxmlformats.org/officeDocument/2006/relationships/hyperlink" Target="http://vid1.rian.ru/ig/ratings/b_banki_12.pdf" TargetMode="External"/><Relationship Id="rId7" Type="http://schemas.openxmlformats.org/officeDocument/2006/relationships/hyperlink" Target="http://vid1.rian.ru/ig/ratings/b_banki_12.pdf" TargetMode="External"/><Relationship Id="rId8" Type="http://schemas.openxmlformats.org/officeDocument/2006/relationships/hyperlink" Target="http://www.banki.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lyagusakov:Desktop:&#1050;%20&#1076;&#1080;&#1087;&#1083;&#1086;&#1084;&#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ilyagusakov:Desktop:&#1050;%20&#1076;&#1080;&#1087;&#1083;&#1086;&#1084;&#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ilyagusakov:Desktop:&#1050;%20&#1076;&#1080;&#1087;&#1083;&#1086;&#1084;&#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ERUS:&#1050;%20&#1076;&#1080;&#1087;&#1083;&#1086;&#1084;&#10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ERUS:&#1050;%20&#1076;&#1080;&#1087;&#1083;&#1086;&#1084;&#10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ERUS:&#1050;%20&#1076;&#1080;&#1087;&#1083;&#1086;&#1084;&#109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ERUS:&#1050;%20&#1076;&#1080;&#1087;&#1083;&#1086;&#1084;&#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Sheet1!$B$1</c:f>
              <c:strCache>
                <c:ptCount val="1"/>
                <c:pt idx="0">
                  <c:v>%</c:v>
                </c:pt>
              </c:strCache>
            </c:strRef>
          </c:tx>
          <c:invertIfNegative val="0"/>
          <c:cat>
            <c:strRef>
              <c:f>Sheet1!$A$2:$A$7</c:f>
              <c:strCache>
                <c:ptCount val="6"/>
                <c:pt idx="0">
                  <c:v>Освоение новых географических рынков</c:v>
                </c:pt>
                <c:pt idx="1">
                  <c:v>Увеличение стоимости</c:v>
                </c:pt>
                <c:pt idx="2">
                  <c:v>Увеличение или защита своей доли рынка</c:v>
                </c:pt>
                <c:pt idx="3">
                  <c:v>Привлечение новых продуктов или услуг</c:v>
                </c:pt>
                <c:pt idx="4">
                  <c:v>Установления контроля над цепочкой поставщиков</c:v>
                </c:pt>
                <c:pt idx="5">
                  <c:v>Прочие цели</c:v>
                </c:pt>
              </c:strCache>
            </c:strRef>
          </c:cat>
          <c:val>
            <c:numRef>
              <c:f>Sheet1!$B$2:$B$7</c:f>
              <c:numCache>
                <c:formatCode>General</c:formatCode>
                <c:ptCount val="6"/>
                <c:pt idx="0">
                  <c:v>0.35</c:v>
                </c:pt>
                <c:pt idx="1">
                  <c:v>0.2</c:v>
                </c:pt>
                <c:pt idx="2">
                  <c:v>0.19</c:v>
                </c:pt>
                <c:pt idx="3">
                  <c:v>0.08</c:v>
                </c:pt>
                <c:pt idx="4">
                  <c:v>0.07</c:v>
                </c:pt>
                <c:pt idx="5">
                  <c:v>0.11</c:v>
                </c:pt>
              </c:numCache>
            </c:numRef>
          </c:val>
        </c:ser>
        <c:dLbls>
          <c:showLegendKey val="0"/>
          <c:showVal val="0"/>
          <c:showCatName val="0"/>
          <c:showSerName val="0"/>
          <c:showPercent val="0"/>
          <c:showBubbleSize val="0"/>
        </c:dLbls>
        <c:gapWidth val="150"/>
        <c:axId val="-2124074168"/>
        <c:axId val="-2124052120"/>
      </c:barChart>
      <c:catAx>
        <c:axId val="-2124074168"/>
        <c:scaling>
          <c:orientation val="minMax"/>
        </c:scaling>
        <c:delete val="0"/>
        <c:axPos val="l"/>
        <c:majorTickMark val="out"/>
        <c:minorTickMark val="none"/>
        <c:tickLblPos val="nextTo"/>
        <c:txPr>
          <a:bodyPr/>
          <a:lstStyle/>
          <a:p>
            <a:pPr algn="r">
              <a:defRPr/>
            </a:pPr>
            <a:endParaRPr lang="en-US"/>
          </a:p>
        </c:txPr>
        <c:crossAx val="-2124052120"/>
        <c:crosses val="autoZero"/>
        <c:auto val="1"/>
        <c:lblAlgn val="ctr"/>
        <c:lblOffset val="100"/>
        <c:noMultiLvlLbl val="0"/>
      </c:catAx>
      <c:valAx>
        <c:axId val="-2124052120"/>
        <c:scaling>
          <c:orientation val="minMax"/>
        </c:scaling>
        <c:delete val="0"/>
        <c:axPos val="b"/>
        <c:majorGridlines/>
        <c:numFmt formatCode="0%" sourceLinked="0"/>
        <c:majorTickMark val="out"/>
        <c:minorTickMark val="none"/>
        <c:tickLblPos val="nextTo"/>
        <c:crossAx val="-2124074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invertIfNegative val="0"/>
          <c:dLbls>
            <c:txPr>
              <a:bodyPr/>
              <a:lstStyle/>
              <a:p>
                <a:pPr>
                  <a:defRPr b="1">
                    <a:solidFill>
                      <a:srgbClr val="FFFFFF"/>
                    </a:solidFill>
                  </a:defRPr>
                </a:pPr>
                <a:endParaRPr lang="en-US"/>
              </a:p>
            </c:txPr>
            <c:dLblPos val="inEnd"/>
            <c:showLegendKey val="0"/>
            <c:showVal val="1"/>
            <c:showCatName val="0"/>
            <c:showSerName val="0"/>
            <c:showPercent val="0"/>
            <c:showBubbleSize val="0"/>
            <c:showLeaderLines val="0"/>
          </c:dLbls>
          <c:cat>
            <c:strRef>
              <c:f>Sheet1!$A$47:$A$52</c:f>
              <c:strCache>
                <c:ptCount val="6"/>
                <c:pt idx="0">
                  <c:v>менее 250 млн. долл.</c:v>
                </c:pt>
                <c:pt idx="1">
                  <c:v>от 250 млн. долл. до 500 млн. долл.</c:v>
                </c:pt>
                <c:pt idx="2">
                  <c:v>от 500 млн. долл. до 1 млрд. долл.</c:v>
                </c:pt>
                <c:pt idx="3">
                  <c:v>от 1 млрд. долл. до 3 млрд. долл.</c:v>
                </c:pt>
                <c:pt idx="4">
                  <c:v>больше 3 млрд. долл.</c:v>
                </c:pt>
                <c:pt idx="5">
                  <c:v>воздержались</c:v>
                </c:pt>
              </c:strCache>
            </c:strRef>
          </c:cat>
          <c:val>
            <c:numRef>
              <c:f>Sheet1!$B$47:$B$52</c:f>
              <c:numCache>
                <c:formatCode>0%</c:formatCode>
                <c:ptCount val="6"/>
                <c:pt idx="0">
                  <c:v>0.09</c:v>
                </c:pt>
                <c:pt idx="1">
                  <c:v>0.16</c:v>
                </c:pt>
                <c:pt idx="2">
                  <c:v>0.24</c:v>
                </c:pt>
                <c:pt idx="3">
                  <c:v>0.23</c:v>
                </c:pt>
                <c:pt idx="4">
                  <c:v>0.05</c:v>
                </c:pt>
                <c:pt idx="5">
                  <c:v>0.23</c:v>
                </c:pt>
              </c:numCache>
            </c:numRef>
          </c:val>
        </c:ser>
        <c:dLbls>
          <c:showLegendKey val="0"/>
          <c:showVal val="0"/>
          <c:showCatName val="0"/>
          <c:showSerName val="0"/>
          <c:showPercent val="0"/>
          <c:showBubbleSize val="0"/>
        </c:dLbls>
        <c:gapWidth val="75"/>
        <c:overlap val="40"/>
        <c:axId val="2134523400"/>
        <c:axId val="2132880232"/>
      </c:barChart>
      <c:catAx>
        <c:axId val="2134523400"/>
        <c:scaling>
          <c:orientation val="minMax"/>
        </c:scaling>
        <c:delete val="0"/>
        <c:axPos val="l"/>
        <c:majorTickMark val="none"/>
        <c:minorTickMark val="none"/>
        <c:tickLblPos val="nextTo"/>
        <c:crossAx val="2132880232"/>
        <c:crosses val="autoZero"/>
        <c:auto val="1"/>
        <c:lblAlgn val="ctr"/>
        <c:lblOffset val="100"/>
        <c:noMultiLvlLbl val="0"/>
      </c:catAx>
      <c:valAx>
        <c:axId val="2132880232"/>
        <c:scaling>
          <c:orientation val="minMax"/>
        </c:scaling>
        <c:delete val="0"/>
        <c:axPos val="b"/>
        <c:majorGridlines/>
        <c:numFmt formatCode="0%" sourceLinked="1"/>
        <c:majorTickMark val="none"/>
        <c:minorTickMark val="none"/>
        <c:tickLblPos val="nextTo"/>
        <c:crossAx val="21345234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Sheet1!$B$24</c:f>
              <c:strCache>
                <c:ptCount val="1"/>
                <c:pt idx="0">
                  <c:v>млн. долл</c:v>
                </c:pt>
              </c:strCache>
            </c:strRef>
          </c:tx>
          <c:invertIfNegative val="0"/>
          <c:dLbls>
            <c:txPr>
              <a:bodyPr/>
              <a:lstStyle/>
              <a:p>
                <a:pPr>
                  <a:defRPr b="1">
                    <a:solidFill>
                      <a:schemeClr val="bg1"/>
                    </a:solidFill>
                  </a:defRPr>
                </a:pPr>
                <a:endParaRPr lang="en-US"/>
              </a:p>
            </c:txPr>
            <c:dLblPos val="inEnd"/>
            <c:showLegendKey val="0"/>
            <c:showVal val="1"/>
            <c:showCatName val="0"/>
            <c:showSerName val="0"/>
            <c:showPercent val="0"/>
            <c:showBubbleSize val="0"/>
            <c:showLeaderLines val="0"/>
          </c:dLbls>
          <c:cat>
            <c:strRef>
              <c:f>Sheet1!$A$25:$A$29</c:f>
              <c:strCache>
                <c:ptCount val="5"/>
                <c:pt idx="0">
                  <c:v>Добыча полезных ископаемых</c:v>
                </c:pt>
                <c:pt idx="1">
                  <c:v>Транспорт</c:v>
                </c:pt>
                <c:pt idx="2">
                  <c:v>Машиностроение</c:v>
                </c:pt>
                <c:pt idx="3">
                  <c:v>Сельское хозяйство</c:v>
                </c:pt>
                <c:pt idx="4">
                  <c:v>Финансовые институты</c:v>
                </c:pt>
              </c:strCache>
            </c:strRef>
          </c:cat>
          <c:val>
            <c:numRef>
              <c:f>Sheet1!$B$25:$B$29</c:f>
              <c:numCache>
                <c:formatCode>General</c:formatCode>
                <c:ptCount val="5"/>
                <c:pt idx="0">
                  <c:v>405.5</c:v>
                </c:pt>
                <c:pt idx="1">
                  <c:v>205.8</c:v>
                </c:pt>
                <c:pt idx="2">
                  <c:v>182.1</c:v>
                </c:pt>
                <c:pt idx="3">
                  <c:v>158.4</c:v>
                </c:pt>
                <c:pt idx="4">
                  <c:v>82.9</c:v>
                </c:pt>
              </c:numCache>
            </c:numRef>
          </c:val>
        </c:ser>
        <c:dLbls>
          <c:showLegendKey val="0"/>
          <c:showVal val="0"/>
          <c:showCatName val="0"/>
          <c:showSerName val="0"/>
          <c:showPercent val="0"/>
          <c:showBubbleSize val="0"/>
        </c:dLbls>
        <c:gapWidth val="75"/>
        <c:overlap val="40"/>
        <c:axId val="-2093745992"/>
        <c:axId val="-2093009272"/>
      </c:barChart>
      <c:catAx>
        <c:axId val="-2093745992"/>
        <c:scaling>
          <c:orientation val="minMax"/>
        </c:scaling>
        <c:delete val="0"/>
        <c:axPos val="l"/>
        <c:majorTickMark val="none"/>
        <c:minorTickMark val="none"/>
        <c:tickLblPos val="nextTo"/>
        <c:crossAx val="-2093009272"/>
        <c:crosses val="autoZero"/>
        <c:auto val="1"/>
        <c:lblAlgn val="ctr"/>
        <c:lblOffset val="100"/>
        <c:noMultiLvlLbl val="0"/>
      </c:catAx>
      <c:valAx>
        <c:axId val="-2093009272"/>
        <c:scaling>
          <c:orientation val="minMax"/>
        </c:scaling>
        <c:delete val="0"/>
        <c:axPos val="b"/>
        <c:majorGridlines/>
        <c:numFmt formatCode="General" sourceLinked="1"/>
        <c:majorTickMark val="none"/>
        <c:minorTickMark val="none"/>
        <c:tickLblPos val="nextTo"/>
        <c:crossAx val="-20937459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272565258412831"/>
          <c:y val="0.00370370370370369"/>
          <c:w val="0.945486948317434"/>
          <c:h val="0.878950860309128"/>
        </c:manualLayout>
      </c:layout>
      <c:barChart>
        <c:barDir val="col"/>
        <c:grouping val="clustered"/>
        <c:varyColors val="0"/>
        <c:ser>
          <c:idx val="0"/>
          <c:order val="0"/>
          <c:tx>
            <c:strRef>
              <c:f>Sheet1!$A$74</c:f>
              <c:strCache>
                <c:ptCount val="1"/>
                <c:pt idx="0">
                  <c:v>Количество отделений и филиалов</c:v>
                </c:pt>
              </c:strCache>
            </c:strRef>
          </c:tx>
          <c:invertIfNegative val="0"/>
          <c:cat>
            <c:numRef>
              <c:f>Sheet1!$B$73:$I$73</c:f>
              <c:numCache>
                <c:formatCode>General</c:formatCode>
                <c:ptCount val="8"/>
                <c:pt idx="0">
                  <c:v>2004.0</c:v>
                </c:pt>
                <c:pt idx="1">
                  <c:v>2005.0</c:v>
                </c:pt>
                <c:pt idx="2">
                  <c:v>2006.0</c:v>
                </c:pt>
                <c:pt idx="3">
                  <c:v>2007.0</c:v>
                </c:pt>
                <c:pt idx="4">
                  <c:v>2008.0</c:v>
                </c:pt>
                <c:pt idx="5">
                  <c:v>2009.0</c:v>
                </c:pt>
                <c:pt idx="6">
                  <c:v>2010.0</c:v>
                </c:pt>
                <c:pt idx="7">
                  <c:v>2011.0</c:v>
                </c:pt>
              </c:numCache>
            </c:numRef>
          </c:cat>
          <c:val>
            <c:numRef>
              <c:f>Sheet1!$B$74:$I$74</c:f>
              <c:numCache>
                <c:formatCode>#,##0</c:formatCode>
                <c:ptCount val="8"/>
                <c:pt idx="0">
                  <c:v>17.0</c:v>
                </c:pt>
                <c:pt idx="1">
                  <c:v>26.0</c:v>
                </c:pt>
                <c:pt idx="2">
                  <c:v>242.0</c:v>
                </c:pt>
                <c:pt idx="3">
                  <c:v>237.0</c:v>
                </c:pt>
                <c:pt idx="4">
                  <c:v>233.0</c:v>
                </c:pt>
                <c:pt idx="5">
                  <c:v>211.0</c:v>
                </c:pt>
                <c:pt idx="6">
                  <c:v>195.0</c:v>
                </c:pt>
                <c:pt idx="7">
                  <c:v>189.0</c:v>
                </c:pt>
              </c:numCache>
            </c:numRef>
          </c:val>
        </c:ser>
        <c:dLbls>
          <c:showLegendKey val="0"/>
          <c:showVal val="1"/>
          <c:showCatName val="0"/>
          <c:showSerName val="0"/>
          <c:showPercent val="0"/>
          <c:showBubbleSize val="0"/>
        </c:dLbls>
        <c:gapWidth val="150"/>
        <c:overlap val="-25"/>
        <c:axId val="-2127123512"/>
        <c:axId val="2134104584"/>
      </c:barChart>
      <c:catAx>
        <c:axId val="-2127123512"/>
        <c:scaling>
          <c:orientation val="minMax"/>
        </c:scaling>
        <c:delete val="0"/>
        <c:axPos val="b"/>
        <c:numFmt formatCode="General" sourceLinked="1"/>
        <c:majorTickMark val="none"/>
        <c:minorTickMark val="none"/>
        <c:tickLblPos val="nextTo"/>
        <c:crossAx val="2134104584"/>
        <c:crosses val="autoZero"/>
        <c:auto val="1"/>
        <c:lblAlgn val="ctr"/>
        <c:lblOffset val="100"/>
        <c:noMultiLvlLbl val="0"/>
      </c:catAx>
      <c:valAx>
        <c:axId val="2134104584"/>
        <c:scaling>
          <c:orientation val="minMax"/>
        </c:scaling>
        <c:delete val="1"/>
        <c:axPos val="l"/>
        <c:numFmt formatCode="#,##0" sourceLinked="1"/>
        <c:majorTickMark val="out"/>
        <c:minorTickMark val="none"/>
        <c:tickLblPos val="nextTo"/>
        <c:crossAx val="-21271235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286469810489202"/>
          <c:y val="0.0185185185185185"/>
          <c:w val="0.94270603790216"/>
          <c:h val="0.864136045494313"/>
        </c:manualLayout>
      </c:layout>
      <c:barChart>
        <c:barDir val="col"/>
        <c:grouping val="clustered"/>
        <c:varyColors val="0"/>
        <c:ser>
          <c:idx val="0"/>
          <c:order val="0"/>
          <c:tx>
            <c:strRef>
              <c:f>Sheet1!$A$78</c:f>
              <c:strCache>
                <c:ptCount val="1"/>
                <c:pt idx="0">
                  <c:v>Активы</c:v>
                </c:pt>
              </c:strCache>
            </c:strRef>
          </c:tx>
          <c:invertIfNegative val="0"/>
          <c:cat>
            <c:numRef>
              <c:f>Sheet1!$B$77:$I$77</c:f>
              <c:numCache>
                <c:formatCode>General</c:formatCode>
                <c:ptCount val="8"/>
                <c:pt idx="0">
                  <c:v>2004.0</c:v>
                </c:pt>
                <c:pt idx="1">
                  <c:v>2005.0</c:v>
                </c:pt>
                <c:pt idx="2">
                  <c:v>2006.0</c:v>
                </c:pt>
                <c:pt idx="3">
                  <c:v>2007.0</c:v>
                </c:pt>
                <c:pt idx="4">
                  <c:v>2008.0</c:v>
                </c:pt>
                <c:pt idx="5">
                  <c:v>2009.0</c:v>
                </c:pt>
                <c:pt idx="6">
                  <c:v>2010.0</c:v>
                </c:pt>
                <c:pt idx="7">
                  <c:v>2011.0</c:v>
                </c:pt>
              </c:numCache>
            </c:numRef>
          </c:cat>
          <c:val>
            <c:numRef>
              <c:f>Sheet1!$B$78:$I$78</c:f>
              <c:numCache>
                <c:formatCode>#,##0</c:formatCode>
                <c:ptCount val="8"/>
                <c:pt idx="0">
                  <c:v>81818.0</c:v>
                </c:pt>
                <c:pt idx="1">
                  <c:v>135122.0</c:v>
                </c:pt>
                <c:pt idx="2">
                  <c:v>299215.0</c:v>
                </c:pt>
                <c:pt idx="3">
                  <c:v>444232.0</c:v>
                </c:pt>
                <c:pt idx="4">
                  <c:v>619320.0</c:v>
                </c:pt>
                <c:pt idx="5">
                  <c:v>512656.0</c:v>
                </c:pt>
                <c:pt idx="6">
                  <c:v>508305.0</c:v>
                </c:pt>
                <c:pt idx="7">
                  <c:v>605086.0</c:v>
                </c:pt>
              </c:numCache>
            </c:numRef>
          </c:val>
        </c:ser>
        <c:dLbls>
          <c:showLegendKey val="0"/>
          <c:showVal val="1"/>
          <c:showCatName val="0"/>
          <c:showSerName val="0"/>
          <c:showPercent val="0"/>
          <c:showBubbleSize val="0"/>
        </c:dLbls>
        <c:gapWidth val="150"/>
        <c:overlap val="-25"/>
        <c:axId val="-2096437432"/>
        <c:axId val="-2141593112"/>
      </c:barChart>
      <c:catAx>
        <c:axId val="-2096437432"/>
        <c:scaling>
          <c:orientation val="minMax"/>
        </c:scaling>
        <c:delete val="0"/>
        <c:axPos val="b"/>
        <c:numFmt formatCode="General" sourceLinked="1"/>
        <c:majorTickMark val="none"/>
        <c:minorTickMark val="none"/>
        <c:tickLblPos val="nextTo"/>
        <c:crossAx val="-2141593112"/>
        <c:crosses val="autoZero"/>
        <c:auto val="1"/>
        <c:lblAlgn val="ctr"/>
        <c:lblOffset val="100"/>
        <c:noMultiLvlLbl val="0"/>
      </c:catAx>
      <c:valAx>
        <c:axId val="-2141593112"/>
        <c:scaling>
          <c:orientation val="minMax"/>
        </c:scaling>
        <c:delete val="1"/>
        <c:axPos val="l"/>
        <c:numFmt formatCode="#,##0" sourceLinked="1"/>
        <c:majorTickMark val="none"/>
        <c:minorTickMark val="none"/>
        <c:tickLblPos val="nextTo"/>
        <c:crossAx val="-20964374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286469810489202"/>
          <c:y val="0.0157407407407407"/>
          <c:w val="0.94270603790216"/>
          <c:h val="0.866913823272091"/>
        </c:manualLayout>
      </c:layout>
      <c:barChart>
        <c:barDir val="col"/>
        <c:grouping val="clustered"/>
        <c:varyColors val="0"/>
        <c:ser>
          <c:idx val="0"/>
          <c:order val="0"/>
          <c:tx>
            <c:strRef>
              <c:f>Sheet1!$A$76</c:f>
              <c:strCache>
                <c:ptCount val="1"/>
                <c:pt idx="0">
                  <c:v>Прибыль </c:v>
                </c:pt>
              </c:strCache>
            </c:strRef>
          </c:tx>
          <c:invertIfNegative val="0"/>
          <c:cat>
            <c:numRef>
              <c:f>Sheet1!$B$75:$I$75</c:f>
              <c:numCache>
                <c:formatCode>General</c:formatCode>
                <c:ptCount val="8"/>
                <c:pt idx="0">
                  <c:v>2004.0</c:v>
                </c:pt>
                <c:pt idx="1">
                  <c:v>2005.0</c:v>
                </c:pt>
                <c:pt idx="2">
                  <c:v>2006.0</c:v>
                </c:pt>
                <c:pt idx="3">
                  <c:v>2007.0</c:v>
                </c:pt>
                <c:pt idx="4">
                  <c:v>2008.0</c:v>
                </c:pt>
                <c:pt idx="5">
                  <c:v>2009.0</c:v>
                </c:pt>
                <c:pt idx="6">
                  <c:v>2010.0</c:v>
                </c:pt>
                <c:pt idx="7">
                  <c:v>2011.0</c:v>
                </c:pt>
              </c:numCache>
            </c:numRef>
          </c:cat>
          <c:val>
            <c:numRef>
              <c:f>Sheet1!$B$76:$I$76</c:f>
              <c:numCache>
                <c:formatCode>#,##0</c:formatCode>
                <c:ptCount val="8"/>
                <c:pt idx="0">
                  <c:v>1555.0</c:v>
                </c:pt>
                <c:pt idx="1">
                  <c:v>2291.0</c:v>
                </c:pt>
                <c:pt idx="2">
                  <c:v>4315.0</c:v>
                </c:pt>
                <c:pt idx="3">
                  <c:v>6697.0</c:v>
                </c:pt>
                <c:pt idx="4">
                  <c:v>11198.0</c:v>
                </c:pt>
                <c:pt idx="5">
                  <c:v>5423.0</c:v>
                </c:pt>
                <c:pt idx="6">
                  <c:v>7288.0</c:v>
                </c:pt>
                <c:pt idx="7">
                  <c:v>13855.0</c:v>
                </c:pt>
              </c:numCache>
            </c:numRef>
          </c:val>
        </c:ser>
        <c:dLbls>
          <c:showLegendKey val="0"/>
          <c:showVal val="1"/>
          <c:showCatName val="0"/>
          <c:showSerName val="0"/>
          <c:showPercent val="0"/>
          <c:showBubbleSize val="0"/>
        </c:dLbls>
        <c:gapWidth val="150"/>
        <c:overlap val="-25"/>
        <c:axId val="2125679752"/>
        <c:axId val="-2141386712"/>
      </c:barChart>
      <c:catAx>
        <c:axId val="2125679752"/>
        <c:scaling>
          <c:orientation val="minMax"/>
        </c:scaling>
        <c:delete val="0"/>
        <c:axPos val="b"/>
        <c:numFmt formatCode="General" sourceLinked="1"/>
        <c:majorTickMark val="none"/>
        <c:minorTickMark val="none"/>
        <c:tickLblPos val="nextTo"/>
        <c:crossAx val="-2141386712"/>
        <c:crosses val="autoZero"/>
        <c:auto val="1"/>
        <c:lblAlgn val="ctr"/>
        <c:lblOffset val="100"/>
        <c:noMultiLvlLbl val="0"/>
      </c:catAx>
      <c:valAx>
        <c:axId val="-2141386712"/>
        <c:scaling>
          <c:orientation val="minMax"/>
        </c:scaling>
        <c:delete val="1"/>
        <c:axPos val="l"/>
        <c:numFmt formatCode="#,##0" sourceLinked="1"/>
        <c:majorTickMark val="none"/>
        <c:minorTickMark val="none"/>
        <c:tickLblPos val="nextTo"/>
        <c:crossAx val="2125679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277807458061759"/>
          <c:y val="0.0234776228906823"/>
          <c:w val="0.944438508387648"/>
          <c:h val="0.852547741877093"/>
        </c:manualLayout>
      </c:layout>
      <c:barChart>
        <c:barDir val="col"/>
        <c:grouping val="clustered"/>
        <c:varyColors val="0"/>
        <c:ser>
          <c:idx val="0"/>
          <c:order val="0"/>
          <c:tx>
            <c:strRef>
              <c:f>Sheet1!$A$72</c:f>
              <c:strCache>
                <c:ptCount val="1"/>
                <c:pt idx="0">
                  <c:v>Количество сотрудников</c:v>
                </c:pt>
              </c:strCache>
            </c:strRef>
          </c:tx>
          <c:invertIfNegative val="0"/>
          <c:cat>
            <c:numRef>
              <c:f>Sheet1!$B$71:$I$71</c:f>
              <c:numCache>
                <c:formatCode>General</c:formatCode>
                <c:ptCount val="8"/>
                <c:pt idx="0">
                  <c:v>2004.0</c:v>
                </c:pt>
                <c:pt idx="1">
                  <c:v>2005.0</c:v>
                </c:pt>
                <c:pt idx="2">
                  <c:v>2006.0</c:v>
                </c:pt>
                <c:pt idx="3">
                  <c:v>2007.0</c:v>
                </c:pt>
                <c:pt idx="4">
                  <c:v>2008.0</c:v>
                </c:pt>
                <c:pt idx="5">
                  <c:v>2009.0</c:v>
                </c:pt>
                <c:pt idx="6">
                  <c:v>2010.0</c:v>
                </c:pt>
                <c:pt idx="7">
                  <c:v>2011.0</c:v>
                </c:pt>
              </c:numCache>
            </c:numRef>
          </c:cat>
          <c:val>
            <c:numRef>
              <c:f>Sheet1!$B$72:$I$72</c:f>
              <c:numCache>
                <c:formatCode>#,##0</c:formatCode>
                <c:ptCount val="8"/>
                <c:pt idx="0">
                  <c:v>1027.0</c:v>
                </c:pt>
                <c:pt idx="1">
                  <c:v>1674.0</c:v>
                </c:pt>
                <c:pt idx="2">
                  <c:v>8161.0</c:v>
                </c:pt>
                <c:pt idx="3">
                  <c:v>9083.0</c:v>
                </c:pt>
                <c:pt idx="4">
                  <c:v>10731.0</c:v>
                </c:pt>
                <c:pt idx="5">
                  <c:v>9403.0</c:v>
                </c:pt>
                <c:pt idx="6">
                  <c:v>9652.0</c:v>
                </c:pt>
                <c:pt idx="7">
                  <c:v>9580.0</c:v>
                </c:pt>
              </c:numCache>
            </c:numRef>
          </c:val>
        </c:ser>
        <c:dLbls>
          <c:showLegendKey val="0"/>
          <c:showVal val="1"/>
          <c:showCatName val="0"/>
          <c:showSerName val="0"/>
          <c:showPercent val="0"/>
          <c:showBubbleSize val="0"/>
        </c:dLbls>
        <c:gapWidth val="150"/>
        <c:overlap val="-25"/>
        <c:axId val="-2141580584"/>
        <c:axId val="-2128047448"/>
      </c:barChart>
      <c:catAx>
        <c:axId val="-2141580584"/>
        <c:scaling>
          <c:orientation val="minMax"/>
        </c:scaling>
        <c:delete val="0"/>
        <c:axPos val="b"/>
        <c:numFmt formatCode="General" sourceLinked="1"/>
        <c:majorTickMark val="none"/>
        <c:minorTickMark val="none"/>
        <c:tickLblPos val="nextTo"/>
        <c:crossAx val="-2128047448"/>
        <c:crosses val="autoZero"/>
        <c:auto val="1"/>
        <c:lblAlgn val="ctr"/>
        <c:lblOffset val="100"/>
        <c:noMultiLvlLbl val="0"/>
      </c:catAx>
      <c:valAx>
        <c:axId val="-2128047448"/>
        <c:scaling>
          <c:orientation val="minMax"/>
        </c:scaling>
        <c:delete val="1"/>
        <c:axPos val="l"/>
        <c:numFmt formatCode="#,##0" sourceLinked="1"/>
        <c:majorTickMark val="none"/>
        <c:minorTickMark val="none"/>
        <c:tickLblPos val="nextTo"/>
        <c:crossAx val="-2141580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E68A-E0A2-BC4E-9F4F-C7CF458B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4650</TotalTime>
  <Pages>44</Pages>
  <Words>8087</Words>
  <Characters>52809</Characters>
  <Application>Microsoft Macintosh Word</Application>
  <DocSecurity>0</DocSecurity>
  <Lines>1035</Lines>
  <Paragraphs>236</Paragraphs>
  <ScaleCrop>false</ScaleCrop>
  <HeadingPairs>
    <vt:vector size="6" baseType="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3" baseType="lpstr">
      <vt:lpstr/>
      <vt:lpstr>    Использованные электронные ресурсы:</vt:lpstr>
      <vt:lpstr/>
    </vt:vector>
  </TitlesOfParts>
  <Company>Home</Company>
  <LinksUpToDate>false</LinksUpToDate>
  <CharactersWithSpaces>60660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Ilya</cp:lastModifiedBy>
  <cp:revision>59</cp:revision>
  <dcterms:created xsi:type="dcterms:W3CDTF">2012-11-09T04:43:00Z</dcterms:created>
  <dcterms:modified xsi:type="dcterms:W3CDTF">2013-05-20T16:38:00Z</dcterms:modified>
</cp:coreProperties>
</file>