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D0ACD" w14:textId="1CFFE922" w:rsidR="0067200F" w:rsidRPr="008B0B0A" w:rsidRDefault="00237242" w:rsidP="007E0460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7200F" w:rsidRPr="008B0B0A">
        <w:rPr>
          <w:sz w:val="26"/>
          <w:szCs w:val="26"/>
        </w:rPr>
        <w:t>Правительство Российской Федерации</w:t>
      </w:r>
    </w:p>
    <w:p w14:paraId="07743B35" w14:textId="77777777" w:rsidR="0067200F" w:rsidRPr="008B0B0A" w:rsidRDefault="0067200F" w:rsidP="0067200F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14:paraId="111026D7" w14:textId="77777777" w:rsidR="0067200F" w:rsidRPr="008B0B0A" w:rsidRDefault="0067200F" w:rsidP="0067200F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8B0B0A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33AEBDA1" w14:textId="77777777" w:rsidR="0067200F" w:rsidRPr="008B0B0A" w:rsidRDefault="0067200F" w:rsidP="0067200F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8B0B0A">
        <w:rPr>
          <w:color w:val="000000"/>
          <w:sz w:val="26"/>
          <w:szCs w:val="26"/>
        </w:rPr>
        <w:t>высшего профессионального образования</w:t>
      </w:r>
    </w:p>
    <w:p w14:paraId="51AD93D1" w14:textId="77777777" w:rsidR="0067200F" w:rsidRPr="008B0B0A" w:rsidRDefault="0067200F" w:rsidP="0067200F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14:paraId="0B0C99F6" w14:textId="77777777" w:rsidR="0067200F" w:rsidRPr="008B0B0A" w:rsidRDefault="0067200F" w:rsidP="0067200F">
      <w:pPr>
        <w:pStyle w:val="FR1"/>
        <w:spacing w:before="0"/>
        <w:ind w:left="0" w:right="-6"/>
        <w:rPr>
          <w:sz w:val="26"/>
          <w:szCs w:val="26"/>
        </w:rPr>
      </w:pPr>
      <w:r w:rsidRPr="008B0B0A">
        <w:rPr>
          <w:sz w:val="26"/>
          <w:szCs w:val="26"/>
        </w:rPr>
        <w:t xml:space="preserve">«Национальный исследовательский университет </w:t>
      </w:r>
      <w:r w:rsidRPr="008B0B0A">
        <w:rPr>
          <w:sz w:val="26"/>
          <w:szCs w:val="26"/>
        </w:rPr>
        <w:br/>
        <w:t>«Высшая школа экономики»</w:t>
      </w:r>
    </w:p>
    <w:p w14:paraId="7D7B2E75" w14:textId="77777777" w:rsidR="0067200F" w:rsidRDefault="0067200F" w:rsidP="0067200F">
      <w:pPr>
        <w:rPr>
          <w:sz w:val="26"/>
          <w:szCs w:val="26"/>
        </w:rPr>
      </w:pPr>
    </w:p>
    <w:p w14:paraId="79B23244" w14:textId="77777777" w:rsidR="007E0460" w:rsidRPr="008B0B0A" w:rsidRDefault="007E0460" w:rsidP="0067200F">
      <w:pPr>
        <w:rPr>
          <w:sz w:val="26"/>
          <w:szCs w:val="26"/>
        </w:rPr>
      </w:pPr>
    </w:p>
    <w:p w14:paraId="443F4CF8" w14:textId="77777777" w:rsidR="007E0460" w:rsidRPr="00681550" w:rsidRDefault="007E0460" w:rsidP="0067200F">
      <w:pPr>
        <w:pStyle w:val="Heading6"/>
        <w:rPr>
          <w:sz w:val="26"/>
          <w:szCs w:val="26"/>
        </w:rPr>
      </w:pPr>
      <w:r>
        <w:rPr>
          <w:sz w:val="26"/>
          <w:szCs w:val="26"/>
        </w:rPr>
        <w:t>Факу</w:t>
      </w:r>
      <w:r w:rsidRPr="00681550">
        <w:rPr>
          <w:sz w:val="26"/>
          <w:szCs w:val="26"/>
        </w:rPr>
        <w:t>льтет мировой экономики и мировой политики</w:t>
      </w:r>
    </w:p>
    <w:p w14:paraId="4B78A015" w14:textId="7EA4CC00" w:rsidR="0067200F" w:rsidRPr="00681550" w:rsidRDefault="0067200F" w:rsidP="0067200F">
      <w:pPr>
        <w:pStyle w:val="Heading6"/>
        <w:rPr>
          <w:sz w:val="26"/>
          <w:szCs w:val="26"/>
        </w:rPr>
      </w:pPr>
      <w:r w:rsidRPr="00681550">
        <w:rPr>
          <w:sz w:val="26"/>
          <w:szCs w:val="26"/>
        </w:rPr>
        <w:t>Кафедра</w:t>
      </w:r>
      <w:r w:rsidR="009F1FF7" w:rsidRPr="00681550">
        <w:rPr>
          <w:sz w:val="26"/>
          <w:szCs w:val="26"/>
        </w:rPr>
        <w:t xml:space="preserve"> международных экономических организаций и европейской интеграции</w:t>
      </w:r>
    </w:p>
    <w:p w14:paraId="6DA2253C" w14:textId="77777777" w:rsidR="0067200F" w:rsidRPr="008B0B0A" w:rsidRDefault="0067200F" w:rsidP="0067200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07B6650" w14:textId="77777777" w:rsidR="0067200F" w:rsidRPr="008B0B0A" w:rsidRDefault="0067200F" w:rsidP="0067200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910B3C0" w14:textId="77777777" w:rsidR="0067200F" w:rsidRPr="008B0B0A" w:rsidRDefault="0067200F" w:rsidP="0067200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CC986E" w14:textId="77777777" w:rsidR="0067200F" w:rsidRPr="008B0B0A" w:rsidRDefault="0067200F" w:rsidP="0067200F">
      <w:pPr>
        <w:pStyle w:val="Heading6"/>
        <w:jc w:val="center"/>
        <w:rPr>
          <w:b w:val="0"/>
          <w:bCs w:val="0"/>
          <w:sz w:val="26"/>
          <w:szCs w:val="26"/>
        </w:rPr>
      </w:pPr>
      <w:r w:rsidRPr="008B0B0A">
        <w:rPr>
          <w:sz w:val="26"/>
          <w:szCs w:val="26"/>
        </w:rPr>
        <w:t>ВЫПУСКНАЯ</w:t>
      </w:r>
      <w:r w:rsidRPr="008B0B0A">
        <w:rPr>
          <w:b w:val="0"/>
          <w:bCs w:val="0"/>
          <w:sz w:val="26"/>
          <w:szCs w:val="26"/>
        </w:rPr>
        <w:t xml:space="preserve"> </w:t>
      </w:r>
      <w:r w:rsidRPr="008B0B0A">
        <w:rPr>
          <w:bCs w:val="0"/>
          <w:sz w:val="26"/>
          <w:szCs w:val="26"/>
        </w:rPr>
        <w:t>КВАЛИФИКАЦИОННАЯ РАБОТА</w:t>
      </w:r>
    </w:p>
    <w:p w14:paraId="34008479" w14:textId="77777777" w:rsidR="0067200F" w:rsidRPr="008B0B0A" w:rsidRDefault="0067200F" w:rsidP="006720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2E6E340" w14:textId="77777777" w:rsidR="0067200F" w:rsidRPr="008B0B0A" w:rsidRDefault="0067200F" w:rsidP="006720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EA8BC72" w14:textId="77777777" w:rsidR="0067200F" w:rsidRDefault="0067200F" w:rsidP="007E0460">
      <w:pPr>
        <w:pStyle w:val="BodyText2"/>
        <w:jc w:val="center"/>
        <w:rPr>
          <w:sz w:val="26"/>
          <w:szCs w:val="26"/>
        </w:rPr>
      </w:pPr>
      <w:r w:rsidRPr="008B0B0A">
        <w:rPr>
          <w:sz w:val="26"/>
          <w:szCs w:val="26"/>
        </w:rPr>
        <w:t>На тему</w:t>
      </w:r>
      <w:r w:rsidR="007E0460">
        <w:rPr>
          <w:sz w:val="26"/>
          <w:szCs w:val="26"/>
        </w:rPr>
        <w:t xml:space="preserve"> «Особенности политики ЕС по слияниям и поглощениям»</w:t>
      </w:r>
    </w:p>
    <w:p w14:paraId="4A0586F5" w14:textId="45902845" w:rsidR="00EB20D6" w:rsidRPr="00681550" w:rsidRDefault="00681550" w:rsidP="00681550">
      <w:pPr>
        <w:pStyle w:val="BodyText2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“Features of the EU Policy on Mergers and Acquisitions”</w:t>
      </w:r>
    </w:p>
    <w:p w14:paraId="6A52275B" w14:textId="77777777" w:rsidR="0067200F" w:rsidRPr="005534BC" w:rsidRDefault="0067200F" w:rsidP="0067200F">
      <w:pPr>
        <w:autoSpaceDE w:val="0"/>
        <w:autoSpaceDN w:val="0"/>
        <w:adjustRightInd w:val="0"/>
        <w:spacing w:before="35"/>
        <w:jc w:val="both"/>
        <w:rPr>
          <w:sz w:val="26"/>
          <w:szCs w:val="26"/>
          <w:lang w:val="en-US"/>
        </w:rPr>
      </w:pPr>
    </w:p>
    <w:p w14:paraId="6CBCD095" w14:textId="77777777" w:rsidR="0067200F" w:rsidRPr="005534BC" w:rsidRDefault="0067200F" w:rsidP="0067200F">
      <w:pPr>
        <w:autoSpaceDE w:val="0"/>
        <w:autoSpaceDN w:val="0"/>
        <w:adjustRightInd w:val="0"/>
        <w:spacing w:before="35"/>
        <w:jc w:val="both"/>
        <w:rPr>
          <w:sz w:val="26"/>
          <w:szCs w:val="26"/>
          <w:lang w:val="en-US"/>
        </w:rPr>
      </w:pPr>
    </w:p>
    <w:p w14:paraId="229ACE01" w14:textId="77777777" w:rsidR="0067200F" w:rsidRPr="005534BC" w:rsidRDefault="0067200F" w:rsidP="0067200F">
      <w:pPr>
        <w:autoSpaceDE w:val="0"/>
        <w:autoSpaceDN w:val="0"/>
        <w:adjustRightInd w:val="0"/>
        <w:spacing w:before="35"/>
        <w:jc w:val="both"/>
        <w:rPr>
          <w:sz w:val="26"/>
          <w:szCs w:val="26"/>
          <w:lang w:val="en-US"/>
        </w:rPr>
      </w:pPr>
    </w:p>
    <w:p w14:paraId="027B3112" w14:textId="77777777" w:rsidR="007E0460" w:rsidRPr="005534BC" w:rsidRDefault="007E0460" w:rsidP="0067200F">
      <w:pPr>
        <w:autoSpaceDE w:val="0"/>
        <w:autoSpaceDN w:val="0"/>
        <w:adjustRightInd w:val="0"/>
        <w:spacing w:before="35"/>
        <w:jc w:val="both"/>
        <w:rPr>
          <w:sz w:val="26"/>
          <w:szCs w:val="26"/>
          <w:lang w:val="en-US"/>
        </w:rPr>
      </w:pPr>
    </w:p>
    <w:p w14:paraId="4B1626BA" w14:textId="77777777" w:rsidR="007E0460" w:rsidRPr="005534BC" w:rsidRDefault="007E0460" w:rsidP="0067200F">
      <w:pPr>
        <w:autoSpaceDE w:val="0"/>
        <w:autoSpaceDN w:val="0"/>
        <w:adjustRightInd w:val="0"/>
        <w:spacing w:before="35"/>
        <w:jc w:val="both"/>
        <w:rPr>
          <w:sz w:val="26"/>
          <w:szCs w:val="26"/>
          <w:lang w:val="en-US"/>
        </w:rPr>
      </w:pPr>
    </w:p>
    <w:p w14:paraId="2BD88757" w14:textId="77777777" w:rsidR="007E0460" w:rsidRPr="005534BC" w:rsidRDefault="007E0460" w:rsidP="0067200F">
      <w:pPr>
        <w:autoSpaceDE w:val="0"/>
        <w:autoSpaceDN w:val="0"/>
        <w:adjustRightInd w:val="0"/>
        <w:spacing w:before="35"/>
        <w:jc w:val="both"/>
        <w:rPr>
          <w:sz w:val="26"/>
          <w:szCs w:val="26"/>
          <w:lang w:val="en-US"/>
        </w:rPr>
      </w:pPr>
    </w:p>
    <w:p w14:paraId="2CCCCFF3" w14:textId="77777777" w:rsidR="0067200F" w:rsidRPr="005534BC" w:rsidRDefault="0067200F" w:rsidP="0067200F">
      <w:pPr>
        <w:autoSpaceDE w:val="0"/>
        <w:autoSpaceDN w:val="0"/>
        <w:adjustRightInd w:val="0"/>
        <w:spacing w:before="35"/>
        <w:ind w:left="6300"/>
        <w:jc w:val="both"/>
        <w:rPr>
          <w:sz w:val="26"/>
          <w:szCs w:val="26"/>
          <w:lang w:val="en-US"/>
        </w:rPr>
      </w:pPr>
    </w:p>
    <w:p w14:paraId="485271B9" w14:textId="77777777" w:rsidR="0067200F" w:rsidRPr="008B0B0A" w:rsidRDefault="0067200F" w:rsidP="009D2D10">
      <w:pPr>
        <w:tabs>
          <w:tab w:val="left" w:pos="8820"/>
        </w:tabs>
        <w:ind w:left="4956" w:right="818"/>
        <w:jc w:val="right"/>
        <w:rPr>
          <w:sz w:val="26"/>
          <w:szCs w:val="26"/>
        </w:rPr>
      </w:pPr>
      <w:r w:rsidRPr="008B0B0A">
        <w:rPr>
          <w:sz w:val="26"/>
          <w:szCs w:val="26"/>
        </w:rPr>
        <w:t>Студент</w:t>
      </w:r>
      <w:r w:rsidR="007E0460">
        <w:rPr>
          <w:sz w:val="26"/>
          <w:szCs w:val="26"/>
        </w:rPr>
        <w:t>ка группы № 463</w:t>
      </w:r>
    </w:p>
    <w:p w14:paraId="1DE194E2" w14:textId="77777777" w:rsidR="0067200F" w:rsidRPr="008B0B0A" w:rsidRDefault="007E0460" w:rsidP="009D2D10">
      <w:pPr>
        <w:tabs>
          <w:tab w:val="left" w:pos="8820"/>
        </w:tabs>
        <w:ind w:left="4956" w:right="818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Эльсон</w:t>
      </w:r>
      <w:proofErr w:type="spellEnd"/>
      <w:r>
        <w:rPr>
          <w:sz w:val="26"/>
          <w:szCs w:val="26"/>
        </w:rPr>
        <w:t xml:space="preserve"> Дарья Андреевна</w:t>
      </w:r>
    </w:p>
    <w:p w14:paraId="7219714C" w14:textId="77777777" w:rsidR="0067200F" w:rsidRPr="008B0B0A" w:rsidRDefault="0067200F" w:rsidP="009D2D10">
      <w:pPr>
        <w:tabs>
          <w:tab w:val="left" w:pos="8820"/>
        </w:tabs>
        <w:ind w:left="4956" w:right="818"/>
        <w:jc w:val="right"/>
        <w:rPr>
          <w:sz w:val="26"/>
          <w:szCs w:val="26"/>
        </w:rPr>
      </w:pPr>
    </w:p>
    <w:p w14:paraId="551C7096" w14:textId="77777777" w:rsidR="0067200F" w:rsidRPr="008B0B0A" w:rsidRDefault="0067200F" w:rsidP="009D2D10">
      <w:pPr>
        <w:tabs>
          <w:tab w:val="left" w:pos="8820"/>
        </w:tabs>
        <w:ind w:left="4956" w:right="818"/>
        <w:jc w:val="right"/>
        <w:rPr>
          <w:sz w:val="26"/>
          <w:szCs w:val="26"/>
        </w:rPr>
      </w:pPr>
      <w:r w:rsidRPr="008B0B0A">
        <w:rPr>
          <w:sz w:val="26"/>
          <w:szCs w:val="26"/>
        </w:rPr>
        <w:t>Руководитель ВКР</w:t>
      </w:r>
    </w:p>
    <w:p w14:paraId="6968FF0D" w14:textId="1D8C0EB0" w:rsidR="0067200F" w:rsidRPr="008B0B0A" w:rsidRDefault="009F1FF7" w:rsidP="009D2D10">
      <w:pPr>
        <w:tabs>
          <w:tab w:val="left" w:pos="8820"/>
        </w:tabs>
        <w:ind w:left="4956" w:right="81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Преп. </w:t>
      </w:r>
      <w:proofErr w:type="spellStart"/>
      <w:r w:rsidR="00081BC9" w:rsidRPr="00231C05">
        <w:rPr>
          <w:sz w:val="26"/>
          <w:szCs w:val="26"/>
        </w:rPr>
        <w:t>Гутник</w:t>
      </w:r>
      <w:proofErr w:type="spellEnd"/>
      <w:r w:rsidR="00081BC9" w:rsidRPr="00231C05">
        <w:rPr>
          <w:sz w:val="26"/>
          <w:szCs w:val="26"/>
        </w:rPr>
        <w:t xml:space="preserve"> А. В.</w:t>
      </w:r>
    </w:p>
    <w:p w14:paraId="7C0D9266" w14:textId="77777777" w:rsidR="0067200F" w:rsidRDefault="0067200F" w:rsidP="009D2D10">
      <w:pPr>
        <w:ind w:left="4956"/>
        <w:jc w:val="right"/>
        <w:rPr>
          <w:sz w:val="26"/>
          <w:szCs w:val="26"/>
        </w:rPr>
      </w:pPr>
    </w:p>
    <w:p w14:paraId="2FB65CD9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0214CC2C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72E97791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019CEFBE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7CA5EC04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045C44CD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62C82857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211C3089" w14:textId="77777777" w:rsidR="00081BC9" w:rsidRDefault="00081BC9" w:rsidP="0067200F">
      <w:pPr>
        <w:ind w:left="4956"/>
        <w:jc w:val="both"/>
        <w:rPr>
          <w:sz w:val="26"/>
          <w:szCs w:val="26"/>
        </w:rPr>
      </w:pPr>
    </w:p>
    <w:p w14:paraId="33C07077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78A75D6B" w14:textId="77777777" w:rsidR="007E0460" w:rsidRDefault="007E0460" w:rsidP="0067200F">
      <w:pPr>
        <w:ind w:left="4956"/>
        <w:jc w:val="both"/>
        <w:rPr>
          <w:sz w:val="26"/>
          <w:szCs w:val="26"/>
        </w:rPr>
      </w:pPr>
    </w:p>
    <w:p w14:paraId="7F7BF699" w14:textId="77777777" w:rsidR="00EB20D6" w:rsidRPr="005534BC" w:rsidRDefault="0067200F" w:rsidP="00EB20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0B0A">
        <w:rPr>
          <w:sz w:val="26"/>
          <w:szCs w:val="26"/>
        </w:rPr>
        <w:t>Москва, 20</w:t>
      </w:r>
      <w:r w:rsidR="007E0460" w:rsidRPr="005534BC">
        <w:rPr>
          <w:sz w:val="26"/>
          <w:szCs w:val="26"/>
        </w:rPr>
        <w:t>13</w:t>
      </w:r>
    </w:p>
    <w:p w14:paraId="12378855" w14:textId="51B036E1" w:rsidR="00EB20D6" w:rsidRPr="005534BC" w:rsidRDefault="00EB20D6" w:rsidP="00EB20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75604">
        <w:rPr>
          <w:b/>
          <w:i/>
          <w:sz w:val="32"/>
          <w:szCs w:val="28"/>
        </w:rPr>
        <w:lastRenderedPageBreak/>
        <w:t>Оглавление</w:t>
      </w:r>
    </w:p>
    <w:p w14:paraId="7775F1C1" w14:textId="77777777" w:rsidR="00EB20D6" w:rsidRPr="00875604" w:rsidRDefault="00EB20D6" w:rsidP="00EB20D6">
      <w:pPr>
        <w:tabs>
          <w:tab w:val="center" w:pos="4677"/>
          <w:tab w:val="left" w:pos="6180"/>
        </w:tabs>
        <w:autoSpaceDE w:val="0"/>
        <w:autoSpaceDN w:val="0"/>
        <w:adjustRightInd w:val="0"/>
        <w:rPr>
          <w:b/>
          <w:i/>
          <w:sz w:val="32"/>
          <w:szCs w:val="28"/>
        </w:rPr>
      </w:pPr>
      <w:r w:rsidRPr="00875604">
        <w:rPr>
          <w:b/>
          <w:i/>
          <w:sz w:val="32"/>
          <w:szCs w:val="28"/>
        </w:rPr>
        <w:tab/>
      </w:r>
    </w:p>
    <w:p w14:paraId="02C860E5" w14:textId="77777777" w:rsidR="00EB20D6" w:rsidRPr="006761E2" w:rsidRDefault="00EB20D6" w:rsidP="00EB2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1E2">
        <w:rPr>
          <w:sz w:val="28"/>
          <w:szCs w:val="28"/>
        </w:rPr>
        <w:tab/>
      </w:r>
    </w:p>
    <w:p w14:paraId="5C39D455" w14:textId="7B5A4DFF" w:rsidR="00EB20D6" w:rsidRDefault="00EB20D6" w:rsidP="00EB20D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31B1">
        <w:rPr>
          <w:sz w:val="28"/>
          <w:szCs w:val="28"/>
        </w:rPr>
        <w:t>Введение………………………………………………………………</w:t>
      </w:r>
      <w:r w:rsidR="00D12666">
        <w:rPr>
          <w:sz w:val="28"/>
          <w:szCs w:val="28"/>
        </w:rPr>
        <w:t>.</w:t>
      </w:r>
      <w:r w:rsidRPr="007A31B1">
        <w:rPr>
          <w:sz w:val="28"/>
          <w:szCs w:val="28"/>
        </w:rPr>
        <w:t>……….…3</w:t>
      </w:r>
    </w:p>
    <w:p w14:paraId="54A4AFBE" w14:textId="098E15CC" w:rsidR="00B32241" w:rsidRPr="00D12666" w:rsidRDefault="006F3F43" w:rsidP="00B32241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Глава </w:t>
      </w:r>
      <w:r w:rsidR="00731138">
        <w:rPr>
          <w:sz w:val="28"/>
          <w:szCs w:val="28"/>
        </w:rPr>
        <w:t>1</w:t>
      </w:r>
      <w:r w:rsidR="00B32241" w:rsidRPr="00D12666">
        <w:rPr>
          <w:sz w:val="28"/>
          <w:szCs w:val="28"/>
        </w:rPr>
        <w:t>.</w:t>
      </w:r>
      <w:r w:rsidR="003C40F1" w:rsidRPr="00D12666">
        <w:rPr>
          <w:sz w:val="28"/>
          <w:szCs w:val="28"/>
          <w:lang w:val="en-US"/>
        </w:rPr>
        <w:t xml:space="preserve"> </w:t>
      </w:r>
      <w:r w:rsidR="00D12666" w:rsidRPr="00D12666">
        <w:rPr>
          <w:rFonts w:eastAsiaTheme="minorEastAsia"/>
          <w:color w:val="1A1A1A"/>
          <w:sz w:val="28"/>
          <w:szCs w:val="28"/>
          <w:lang w:eastAsia="en-US"/>
        </w:rPr>
        <w:t>Слияния и поглощения в условиях глобализации</w:t>
      </w:r>
      <w:r w:rsidR="00D12666" w:rsidRPr="00D12666">
        <w:rPr>
          <w:sz w:val="28"/>
          <w:szCs w:val="28"/>
        </w:rPr>
        <w:t>……</w:t>
      </w:r>
      <w:r w:rsidR="00DA604E">
        <w:rPr>
          <w:sz w:val="28"/>
          <w:szCs w:val="28"/>
        </w:rPr>
        <w:t>……………...</w:t>
      </w:r>
      <w:r w:rsidR="003C40F1">
        <w:rPr>
          <w:sz w:val="28"/>
          <w:szCs w:val="28"/>
        </w:rPr>
        <w:t>.</w:t>
      </w:r>
      <w:r w:rsidR="00681550" w:rsidRPr="005534BC">
        <w:rPr>
          <w:sz w:val="28"/>
          <w:szCs w:val="28"/>
        </w:rPr>
        <w:t>5</w:t>
      </w:r>
    </w:p>
    <w:p w14:paraId="17D6EF31" w14:textId="1B6B1C42" w:rsidR="00681550" w:rsidRPr="00681550" w:rsidRDefault="00681550" w:rsidP="006036BD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81550">
        <w:rPr>
          <w:sz w:val="28"/>
          <w:szCs w:val="28"/>
        </w:rPr>
        <w:t>1.1.  Понятие и мотивы слияний и поглощений</w:t>
      </w:r>
      <w:r>
        <w:rPr>
          <w:sz w:val="28"/>
          <w:szCs w:val="28"/>
        </w:rPr>
        <w:t>………………………</w:t>
      </w:r>
      <w:r w:rsidR="00D12666">
        <w:rPr>
          <w:sz w:val="28"/>
          <w:szCs w:val="28"/>
        </w:rPr>
        <w:t>…</w:t>
      </w:r>
      <w:r>
        <w:rPr>
          <w:sz w:val="28"/>
          <w:szCs w:val="28"/>
        </w:rPr>
        <w:t>5</w:t>
      </w:r>
    </w:p>
    <w:p w14:paraId="43482A95" w14:textId="20F1DE7C" w:rsidR="00587938" w:rsidRPr="005534BC" w:rsidRDefault="00587938" w:rsidP="0058793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87938">
        <w:rPr>
          <w:sz w:val="28"/>
          <w:szCs w:val="28"/>
        </w:rPr>
        <w:tab/>
        <w:t>1.2. Анализ рынка слияний и поглощений в ЕС</w:t>
      </w:r>
      <w:r w:rsidRPr="005534BC">
        <w:rPr>
          <w:sz w:val="28"/>
          <w:szCs w:val="28"/>
        </w:rPr>
        <w:t>…………………………9</w:t>
      </w:r>
    </w:p>
    <w:p w14:paraId="2BA2F2CF" w14:textId="77D6221C" w:rsidR="00681550" w:rsidRPr="004634C8" w:rsidRDefault="006F3F43" w:rsidP="00D96E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34C8">
        <w:rPr>
          <w:sz w:val="28"/>
          <w:szCs w:val="28"/>
        </w:rPr>
        <w:t xml:space="preserve">Глава </w:t>
      </w:r>
      <w:r w:rsidR="00731138" w:rsidRPr="004634C8">
        <w:rPr>
          <w:sz w:val="28"/>
          <w:szCs w:val="28"/>
        </w:rPr>
        <w:t>2</w:t>
      </w:r>
      <w:r w:rsidR="0039129D" w:rsidRPr="004634C8">
        <w:rPr>
          <w:sz w:val="28"/>
          <w:szCs w:val="28"/>
        </w:rPr>
        <w:t>. Политика ЕС по слияниям и поглощениям…………………………</w:t>
      </w:r>
      <w:r w:rsidR="00DA604E" w:rsidRPr="004634C8">
        <w:rPr>
          <w:sz w:val="28"/>
          <w:szCs w:val="28"/>
        </w:rPr>
        <w:t>.</w:t>
      </w:r>
      <w:r w:rsidR="0039129D" w:rsidRPr="004634C8">
        <w:rPr>
          <w:sz w:val="28"/>
          <w:szCs w:val="28"/>
        </w:rPr>
        <w:t>.13</w:t>
      </w:r>
    </w:p>
    <w:p w14:paraId="5AB2D120" w14:textId="67D37975" w:rsidR="0039129D" w:rsidRPr="004634C8" w:rsidRDefault="0039129D" w:rsidP="006815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634C8">
        <w:rPr>
          <w:sz w:val="28"/>
          <w:szCs w:val="28"/>
        </w:rPr>
        <w:tab/>
        <w:t>2.1. Правовые основы регулирования конкуренции в ЕС……………...13</w:t>
      </w:r>
    </w:p>
    <w:p w14:paraId="0FEA0642" w14:textId="01E08712" w:rsidR="00E93612" w:rsidRPr="004634C8" w:rsidRDefault="00E93612" w:rsidP="00D96E97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4634C8">
        <w:rPr>
          <w:sz w:val="28"/>
          <w:szCs w:val="28"/>
        </w:rPr>
        <w:t xml:space="preserve">2.2. </w:t>
      </w:r>
      <w:r w:rsidR="00D12666" w:rsidRPr="004634C8">
        <w:rPr>
          <w:sz w:val="28"/>
          <w:szCs w:val="28"/>
        </w:rPr>
        <w:t>Российские компании на рынке слияний и поглощений в ЕС</w:t>
      </w:r>
      <w:r w:rsidR="00063D95" w:rsidRPr="004634C8">
        <w:rPr>
          <w:sz w:val="28"/>
          <w:szCs w:val="28"/>
        </w:rPr>
        <w:t>……</w:t>
      </w:r>
      <w:r w:rsidR="005541F2" w:rsidRPr="004634C8">
        <w:rPr>
          <w:sz w:val="28"/>
          <w:szCs w:val="28"/>
        </w:rPr>
        <w:t>.</w:t>
      </w:r>
      <w:r w:rsidR="00F85E1C" w:rsidRPr="004634C8">
        <w:rPr>
          <w:sz w:val="28"/>
          <w:szCs w:val="28"/>
        </w:rPr>
        <w:t>20</w:t>
      </w:r>
    </w:p>
    <w:p w14:paraId="79FD595B" w14:textId="7B86A789" w:rsidR="00E93612" w:rsidRPr="004634C8" w:rsidRDefault="006F3F43" w:rsidP="00D96E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34C8">
        <w:rPr>
          <w:sz w:val="28"/>
          <w:szCs w:val="28"/>
        </w:rPr>
        <w:t xml:space="preserve">Глава </w:t>
      </w:r>
      <w:r w:rsidR="00731138" w:rsidRPr="004634C8">
        <w:rPr>
          <w:sz w:val="28"/>
          <w:szCs w:val="28"/>
        </w:rPr>
        <w:t>3</w:t>
      </w:r>
      <w:r w:rsidR="00E93612" w:rsidRPr="004634C8">
        <w:rPr>
          <w:sz w:val="28"/>
          <w:szCs w:val="28"/>
        </w:rPr>
        <w:t>.</w:t>
      </w:r>
      <w:r w:rsidR="00E71759" w:rsidRPr="004634C8">
        <w:rPr>
          <w:sz w:val="28"/>
          <w:szCs w:val="28"/>
        </w:rPr>
        <w:t xml:space="preserve"> </w:t>
      </w:r>
      <w:r w:rsidR="005541F2" w:rsidRPr="004634C8">
        <w:rPr>
          <w:sz w:val="28"/>
          <w:szCs w:val="28"/>
        </w:rPr>
        <w:t>П</w:t>
      </w:r>
      <w:r w:rsidR="00E71759" w:rsidRPr="004634C8">
        <w:rPr>
          <w:sz w:val="28"/>
          <w:szCs w:val="28"/>
        </w:rPr>
        <w:t>ерспективы развития антимонопольного законо</w:t>
      </w:r>
      <w:r w:rsidR="005541F2" w:rsidRPr="004634C8">
        <w:rPr>
          <w:sz w:val="28"/>
          <w:szCs w:val="28"/>
        </w:rPr>
        <w:t>дательства ЕС...</w:t>
      </w:r>
      <w:r w:rsidR="00DA604E" w:rsidRPr="004634C8">
        <w:rPr>
          <w:sz w:val="28"/>
          <w:szCs w:val="28"/>
        </w:rPr>
        <w:t>..</w:t>
      </w:r>
      <w:r w:rsidR="00F85E1C" w:rsidRPr="004634C8">
        <w:rPr>
          <w:sz w:val="28"/>
          <w:szCs w:val="28"/>
        </w:rPr>
        <w:t>26</w:t>
      </w:r>
    </w:p>
    <w:p w14:paraId="665DA9E1" w14:textId="274874B8" w:rsidR="00681550" w:rsidRDefault="00E71759" w:rsidP="00D96E97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3.1.</w:t>
      </w:r>
      <w:r w:rsidR="00FC6983" w:rsidRPr="005534BC">
        <w:rPr>
          <w:sz w:val="28"/>
          <w:szCs w:val="28"/>
        </w:rPr>
        <w:t xml:space="preserve"> </w:t>
      </w:r>
      <w:r w:rsidR="00D96E97" w:rsidRPr="00D96E97">
        <w:rPr>
          <w:sz w:val="28"/>
          <w:szCs w:val="28"/>
        </w:rPr>
        <w:t>Недостатки практического применения ан</w:t>
      </w:r>
      <w:r w:rsidR="00D96E97">
        <w:rPr>
          <w:sz w:val="28"/>
          <w:szCs w:val="28"/>
        </w:rPr>
        <w:t xml:space="preserve">тимонопольного законодательства </w:t>
      </w:r>
      <w:r w:rsidR="00D96E97" w:rsidRPr="00D96E97">
        <w:rPr>
          <w:sz w:val="28"/>
          <w:szCs w:val="28"/>
        </w:rPr>
        <w:t>Е</w:t>
      </w:r>
      <w:r w:rsidR="00D96E97">
        <w:rPr>
          <w:sz w:val="28"/>
          <w:szCs w:val="28"/>
        </w:rPr>
        <w:t>С</w:t>
      </w:r>
      <w:r w:rsidR="00D96E97">
        <w:rPr>
          <w:sz w:val="28"/>
          <w:szCs w:val="28"/>
          <w:lang w:val="en-US"/>
        </w:rPr>
        <w:t>…………………………...</w:t>
      </w:r>
      <w:r>
        <w:rPr>
          <w:sz w:val="28"/>
          <w:szCs w:val="28"/>
        </w:rPr>
        <w:t>…………………………</w:t>
      </w:r>
      <w:r w:rsidR="00F85E1C">
        <w:rPr>
          <w:sz w:val="28"/>
          <w:szCs w:val="28"/>
        </w:rPr>
        <w:t>26</w:t>
      </w:r>
    </w:p>
    <w:p w14:paraId="5A2791F5" w14:textId="4928E2D0" w:rsidR="00E71759" w:rsidRDefault="00E71759" w:rsidP="00E71759">
      <w:pPr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3.2. Тенденции развития европейского конкурентного права………</w:t>
      </w:r>
      <w:r w:rsidR="00B65043">
        <w:rPr>
          <w:sz w:val="28"/>
          <w:szCs w:val="28"/>
        </w:rPr>
        <w:t>…31</w:t>
      </w:r>
    </w:p>
    <w:p w14:paraId="2576DAF7" w14:textId="50DB376B" w:rsidR="00E71759" w:rsidRDefault="00E71759" w:rsidP="00E7175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924DF">
        <w:rPr>
          <w:sz w:val="28"/>
          <w:szCs w:val="28"/>
        </w:rPr>
        <w:t>………………………………………………………………………</w:t>
      </w:r>
      <w:r w:rsidR="00AF307F">
        <w:rPr>
          <w:sz w:val="28"/>
          <w:szCs w:val="28"/>
        </w:rPr>
        <w:t>.34</w:t>
      </w:r>
    </w:p>
    <w:p w14:paraId="52B041A1" w14:textId="1EAB7599" w:rsidR="00E71759" w:rsidRPr="009924DF" w:rsidRDefault="00E71759" w:rsidP="00E7175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24DF">
        <w:rPr>
          <w:sz w:val="28"/>
          <w:szCs w:val="28"/>
        </w:rPr>
        <w:t>Список использованной литературы</w:t>
      </w:r>
      <w:r w:rsidR="00AF307F">
        <w:rPr>
          <w:sz w:val="28"/>
          <w:szCs w:val="28"/>
        </w:rPr>
        <w:t>……………………………………...……36</w:t>
      </w:r>
    </w:p>
    <w:p w14:paraId="5CD5492C" w14:textId="77777777" w:rsidR="00E71759" w:rsidRDefault="00E71759" w:rsidP="00E7175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BAF7D1" w14:textId="77777777" w:rsidR="00E71759" w:rsidRPr="005534BC" w:rsidRDefault="00E71759" w:rsidP="00E7175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166BDAE7" w14:textId="77777777" w:rsidR="00B32241" w:rsidRPr="007A31B1" w:rsidRDefault="00B32241" w:rsidP="00EB20D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D8A0776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734CFE80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6BCC5D06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1A199802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62E93CB2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28CA6CCE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78BCE323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0162C0C9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448A974A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13DADB89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43452CDB" w14:textId="77777777" w:rsidR="00D12666" w:rsidRDefault="00D12666" w:rsidP="00B32241">
      <w:pPr>
        <w:jc w:val="center"/>
        <w:rPr>
          <w:b/>
          <w:sz w:val="32"/>
          <w:szCs w:val="28"/>
        </w:rPr>
      </w:pPr>
    </w:p>
    <w:p w14:paraId="4E24DA0E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4DA32E9A" w14:textId="77777777" w:rsidR="00731138" w:rsidRDefault="00731138" w:rsidP="00B32241">
      <w:pPr>
        <w:jc w:val="center"/>
        <w:rPr>
          <w:b/>
          <w:sz w:val="32"/>
          <w:szCs w:val="28"/>
        </w:rPr>
      </w:pPr>
    </w:p>
    <w:p w14:paraId="76CE2945" w14:textId="77777777" w:rsidR="00E02D3E" w:rsidRDefault="00E02D3E" w:rsidP="00B32241">
      <w:pPr>
        <w:jc w:val="center"/>
        <w:rPr>
          <w:b/>
          <w:sz w:val="32"/>
          <w:szCs w:val="28"/>
        </w:rPr>
      </w:pPr>
    </w:p>
    <w:p w14:paraId="0FED3790" w14:textId="77777777" w:rsidR="009924DF" w:rsidRDefault="009924DF" w:rsidP="009924DF">
      <w:pPr>
        <w:rPr>
          <w:b/>
          <w:sz w:val="32"/>
          <w:szCs w:val="28"/>
        </w:rPr>
      </w:pPr>
    </w:p>
    <w:p w14:paraId="2DA612BB" w14:textId="516C29BD" w:rsidR="00B32241" w:rsidRDefault="00B32241" w:rsidP="00EF6BA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Введение</w:t>
      </w:r>
    </w:p>
    <w:p w14:paraId="6A082B65" w14:textId="77777777" w:rsidR="00B32241" w:rsidRDefault="00B32241" w:rsidP="00EF6BA3">
      <w:pPr>
        <w:jc w:val="center"/>
        <w:rPr>
          <w:b/>
          <w:sz w:val="32"/>
          <w:szCs w:val="28"/>
        </w:rPr>
      </w:pPr>
    </w:p>
    <w:p w14:paraId="26683639" w14:textId="7AF3F5B1" w:rsidR="006547F1" w:rsidRDefault="00B46589" w:rsidP="00B322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Политика Европейского С</w:t>
      </w:r>
      <w:r w:rsidR="006547F1">
        <w:rPr>
          <w:bCs/>
          <w:sz w:val="28"/>
          <w:szCs w:val="28"/>
        </w:rPr>
        <w:t xml:space="preserve">оюза по слияниям и поглощениям </w:t>
      </w:r>
      <w:r>
        <w:rPr>
          <w:bCs/>
          <w:sz w:val="28"/>
          <w:szCs w:val="28"/>
        </w:rPr>
        <w:t xml:space="preserve">является </w:t>
      </w:r>
      <w:r w:rsidR="009F2A85">
        <w:rPr>
          <w:bCs/>
          <w:sz w:val="28"/>
          <w:szCs w:val="28"/>
        </w:rPr>
        <w:t>важным звеном</w:t>
      </w:r>
      <w:r>
        <w:rPr>
          <w:bCs/>
          <w:sz w:val="28"/>
          <w:szCs w:val="28"/>
        </w:rPr>
        <w:t xml:space="preserve"> </w:t>
      </w:r>
      <w:r w:rsidR="00E02D3E">
        <w:rPr>
          <w:bCs/>
          <w:sz w:val="28"/>
          <w:szCs w:val="28"/>
        </w:rPr>
        <w:t>об</w:t>
      </w:r>
      <w:r w:rsidR="009F2A85">
        <w:rPr>
          <w:bCs/>
          <w:sz w:val="28"/>
          <w:szCs w:val="28"/>
        </w:rPr>
        <w:t xml:space="preserve">щей антимонопольной политики ЕС, она осуществляется на наднациональном уровне и регулируется Европейской комиссией. </w:t>
      </w:r>
      <w:r w:rsidR="00063D95">
        <w:rPr>
          <w:bCs/>
          <w:sz w:val="28"/>
          <w:szCs w:val="28"/>
        </w:rPr>
        <w:t>Ее основные функции включают в себя</w:t>
      </w:r>
      <w:r w:rsidR="00E02D3E">
        <w:rPr>
          <w:bCs/>
          <w:sz w:val="28"/>
          <w:szCs w:val="28"/>
        </w:rPr>
        <w:t xml:space="preserve"> поддержание эффективной ко</w:t>
      </w:r>
      <w:r w:rsidR="00E02D3E" w:rsidRPr="008426BF">
        <w:rPr>
          <w:bCs/>
          <w:sz w:val="28"/>
          <w:szCs w:val="28"/>
        </w:rPr>
        <w:t>нкуренции с цель</w:t>
      </w:r>
      <w:r w:rsidR="008426BF" w:rsidRPr="008426BF">
        <w:rPr>
          <w:bCs/>
          <w:sz w:val="28"/>
          <w:szCs w:val="28"/>
        </w:rPr>
        <w:t xml:space="preserve">ю защиты интересов потребителей, </w:t>
      </w:r>
      <w:r w:rsidR="00143DBA" w:rsidRPr="008426BF">
        <w:rPr>
          <w:bCs/>
          <w:sz w:val="28"/>
          <w:szCs w:val="28"/>
        </w:rPr>
        <w:t>стимулирования инновации</w:t>
      </w:r>
      <w:r w:rsidR="008426BF" w:rsidRPr="008426BF">
        <w:rPr>
          <w:bCs/>
          <w:sz w:val="28"/>
          <w:szCs w:val="28"/>
        </w:rPr>
        <w:t xml:space="preserve"> и предотвращения злоупотреблений доминирующим положением на рынке.</w:t>
      </w:r>
      <w:r w:rsidR="00162FB2">
        <w:rPr>
          <w:bCs/>
          <w:sz w:val="28"/>
          <w:szCs w:val="28"/>
        </w:rPr>
        <w:t xml:space="preserve"> Ц</w:t>
      </w:r>
      <w:r w:rsidR="008426BF">
        <w:rPr>
          <w:bCs/>
          <w:sz w:val="28"/>
          <w:szCs w:val="28"/>
        </w:rPr>
        <w:t>ель конкурентной политики ЕС заключается в недопущении появления монополий.</w:t>
      </w:r>
      <w:r w:rsidR="00143DBA" w:rsidRPr="008426BF">
        <w:rPr>
          <w:bCs/>
          <w:sz w:val="28"/>
          <w:szCs w:val="28"/>
        </w:rPr>
        <w:t xml:space="preserve"> </w:t>
      </w:r>
    </w:p>
    <w:p w14:paraId="5919AA0D" w14:textId="78758043" w:rsidR="00D94B98" w:rsidRDefault="00D94B98" w:rsidP="00B3224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Слияния и поглощения способствуют поддержанию эффективности компаний и развитию экономики до тех пор, пока не приводят к нарушению </w:t>
      </w:r>
      <w:r w:rsidR="00063D95">
        <w:rPr>
          <w:bCs/>
          <w:sz w:val="28"/>
          <w:szCs w:val="28"/>
        </w:rPr>
        <w:t>«справедливой»</w:t>
      </w:r>
      <w:r w:rsidR="00586C02">
        <w:rPr>
          <w:bCs/>
          <w:sz w:val="28"/>
          <w:szCs w:val="28"/>
        </w:rPr>
        <w:t xml:space="preserve"> конкуренции.</w:t>
      </w:r>
      <w:r w:rsidR="00877DD5">
        <w:rPr>
          <w:bCs/>
          <w:sz w:val="28"/>
          <w:szCs w:val="28"/>
        </w:rPr>
        <w:t xml:space="preserve"> Таким образом, антимонопольная политика ЕС направлена на </w:t>
      </w:r>
      <w:r w:rsidR="00D55F41">
        <w:rPr>
          <w:bCs/>
          <w:sz w:val="28"/>
          <w:szCs w:val="28"/>
        </w:rPr>
        <w:t>ограничение слияний и поглощений в разумных пределах, на поиск золотой середины между эффективной конкуренцией и ростом и развитием отдельных компаний.</w:t>
      </w:r>
    </w:p>
    <w:p w14:paraId="545D170D" w14:textId="665E76EE" w:rsidR="008426BF" w:rsidRDefault="008426BF" w:rsidP="008426BF">
      <w:pPr>
        <w:spacing w:line="360" w:lineRule="auto"/>
        <w:ind w:firstLine="720"/>
        <w:jc w:val="both"/>
        <w:rPr>
          <w:sz w:val="28"/>
          <w:szCs w:val="28"/>
        </w:rPr>
      </w:pPr>
      <w:r w:rsidRPr="00B32241">
        <w:rPr>
          <w:sz w:val="28"/>
          <w:szCs w:val="28"/>
        </w:rPr>
        <w:t>Число слияний и поглощений как в пределах границы ЕС, так и трансграничных слияний и поглощений раст</w:t>
      </w:r>
      <w:r w:rsidRPr="009F2A85">
        <w:rPr>
          <w:sz w:val="28"/>
          <w:szCs w:val="28"/>
        </w:rPr>
        <w:t>ет вместе с либерализацией торговли и интеграцией рынков.</w:t>
      </w:r>
      <w:r w:rsidR="009F2A85" w:rsidRPr="009F2A85">
        <w:rPr>
          <w:sz w:val="28"/>
          <w:szCs w:val="28"/>
        </w:rPr>
        <w:t xml:space="preserve"> Поддержание конкурентной среды единого внутреннего рынка  является важной задачей для экономического развития Европейского Союза в целом.</w:t>
      </w:r>
    </w:p>
    <w:p w14:paraId="1D622636" w14:textId="44B30EDC" w:rsidR="009F2A85" w:rsidRDefault="009F2A85" w:rsidP="009F2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данный момент в условиях экономического и финансового кризиса в Европе число слиян</w:t>
      </w:r>
      <w:r w:rsidR="00162FB2">
        <w:rPr>
          <w:sz w:val="28"/>
          <w:szCs w:val="28"/>
        </w:rPr>
        <w:t>ий и поглощений сократилось, однако политика их регулирования очень актуальна, так как поддержание конкуренции необходимо для роста конкурентоспособн</w:t>
      </w:r>
      <w:r w:rsidR="00B30788">
        <w:rPr>
          <w:sz w:val="28"/>
          <w:szCs w:val="28"/>
        </w:rPr>
        <w:t>ости европейской промышленности, защиты потребителей от завышения цен.</w:t>
      </w:r>
    </w:p>
    <w:p w14:paraId="5ECD5CA6" w14:textId="6E50FA24" w:rsidR="00B32241" w:rsidRPr="00B32241" w:rsidRDefault="00422324" w:rsidP="00B322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Объектом исследования</w:t>
      </w:r>
      <w:r w:rsidR="00586C02">
        <w:rPr>
          <w:bCs/>
          <w:sz w:val="28"/>
          <w:szCs w:val="28"/>
        </w:rPr>
        <w:t xml:space="preserve"> работы</w:t>
      </w:r>
      <w:r>
        <w:rPr>
          <w:bCs/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с</w:t>
      </w:r>
      <w:r w:rsidR="00B32241" w:rsidRPr="00B32241">
        <w:rPr>
          <w:sz w:val="28"/>
          <w:szCs w:val="28"/>
        </w:rPr>
        <w:t>лияния и поглощения на территории ЕС и трансграничные слияния и поглощения с участием стран Е</w:t>
      </w:r>
      <w:r>
        <w:rPr>
          <w:sz w:val="28"/>
          <w:szCs w:val="28"/>
        </w:rPr>
        <w:t>вропейского союза.</w:t>
      </w:r>
    </w:p>
    <w:p w14:paraId="7DF64D4A" w14:textId="4D33DB03" w:rsidR="00EF5F4F" w:rsidRDefault="00B32241" w:rsidP="00EF5F4F">
      <w:pPr>
        <w:spacing w:line="360" w:lineRule="auto"/>
        <w:ind w:firstLine="720"/>
        <w:jc w:val="both"/>
        <w:rPr>
          <w:sz w:val="28"/>
          <w:szCs w:val="28"/>
        </w:rPr>
      </w:pPr>
      <w:r w:rsidRPr="00B32241">
        <w:rPr>
          <w:bCs/>
          <w:sz w:val="28"/>
          <w:szCs w:val="28"/>
        </w:rPr>
        <w:t>Предмет исследования:</w:t>
      </w:r>
      <w:r w:rsidR="00606DB3">
        <w:rPr>
          <w:sz w:val="28"/>
          <w:szCs w:val="28"/>
        </w:rPr>
        <w:t xml:space="preserve"> в</w:t>
      </w:r>
      <w:r w:rsidR="0065629B">
        <w:rPr>
          <w:sz w:val="28"/>
          <w:szCs w:val="28"/>
        </w:rPr>
        <w:t>лияние антимонопольной</w:t>
      </w:r>
      <w:r w:rsidRPr="00B32241">
        <w:rPr>
          <w:sz w:val="28"/>
          <w:szCs w:val="28"/>
        </w:rPr>
        <w:t xml:space="preserve"> политики Евросоюза на слияния и поглощения</w:t>
      </w:r>
      <w:r w:rsidR="0065629B">
        <w:rPr>
          <w:sz w:val="28"/>
          <w:szCs w:val="28"/>
        </w:rPr>
        <w:t xml:space="preserve"> как</w:t>
      </w:r>
      <w:r w:rsidRPr="00B32241">
        <w:rPr>
          <w:sz w:val="28"/>
          <w:szCs w:val="28"/>
        </w:rPr>
        <w:t xml:space="preserve"> на территории </w:t>
      </w:r>
      <w:r w:rsidR="0065629B">
        <w:rPr>
          <w:sz w:val="28"/>
          <w:szCs w:val="28"/>
        </w:rPr>
        <w:t xml:space="preserve">Европейского </w:t>
      </w:r>
      <w:r w:rsidR="0065629B">
        <w:rPr>
          <w:sz w:val="28"/>
          <w:szCs w:val="28"/>
        </w:rPr>
        <w:lastRenderedPageBreak/>
        <w:t xml:space="preserve">сообщества, так и за его пределами. Решения Еврокомиссии распространяется на все компании, которые </w:t>
      </w:r>
      <w:r w:rsidR="00EF5F4F">
        <w:rPr>
          <w:sz w:val="28"/>
          <w:szCs w:val="28"/>
        </w:rPr>
        <w:t>функ</w:t>
      </w:r>
      <w:r w:rsidR="00981344">
        <w:rPr>
          <w:sz w:val="28"/>
          <w:szCs w:val="28"/>
        </w:rPr>
        <w:t>ционируют в пределах Сообщества</w:t>
      </w:r>
      <w:r w:rsidR="00EF5F4F">
        <w:rPr>
          <w:sz w:val="28"/>
          <w:szCs w:val="28"/>
        </w:rPr>
        <w:t xml:space="preserve"> независимо от места расположения.</w:t>
      </w:r>
      <w:r w:rsidR="002F00C6">
        <w:rPr>
          <w:sz w:val="28"/>
          <w:szCs w:val="28"/>
        </w:rPr>
        <w:t xml:space="preserve"> </w:t>
      </w:r>
    </w:p>
    <w:p w14:paraId="45D0290A" w14:textId="336B39D5" w:rsidR="00B32241" w:rsidRPr="00D42967" w:rsidRDefault="00B32241" w:rsidP="00D4296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32241">
        <w:rPr>
          <w:bCs/>
          <w:sz w:val="28"/>
          <w:szCs w:val="28"/>
        </w:rPr>
        <w:t>Цель</w:t>
      </w:r>
      <w:r w:rsidR="00EF5F4F">
        <w:rPr>
          <w:bCs/>
          <w:sz w:val="28"/>
          <w:szCs w:val="28"/>
        </w:rPr>
        <w:t>ю</w:t>
      </w:r>
      <w:r w:rsidRPr="00B32241">
        <w:rPr>
          <w:bCs/>
          <w:sz w:val="28"/>
          <w:szCs w:val="28"/>
        </w:rPr>
        <w:t xml:space="preserve"> </w:t>
      </w:r>
      <w:r w:rsidR="00EF5F4F">
        <w:rPr>
          <w:bCs/>
          <w:sz w:val="28"/>
          <w:szCs w:val="28"/>
        </w:rPr>
        <w:t>работы является исследование характерных черт политик</w:t>
      </w:r>
      <w:r w:rsidR="00DB101B">
        <w:rPr>
          <w:bCs/>
          <w:sz w:val="28"/>
          <w:szCs w:val="28"/>
        </w:rPr>
        <w:t>и ЕС по слияниям и поглощениям</w:t>
      </w:r>
      <w:r w:rsidR="002F00C6">
        <w:rPr>
          <w:bCs/>
          <w:sz w:val="28"/>
          <w:szCs w:val="28"/>
        </w:rPr>
        <w:t>, оценка ее эффективности.</w:t>
      </w:r>
      <w:r w:rsidR="00EF5F4F">
        <w:rPr>
          <w:bCs/>
          <w:sz w:val="28"/>
          <w:szCs w:val="28"/>
        </w:rPr>
        <w:t xml:space="preserve"> </w:t>
      </w:r>
      <w:r w:rsidR="00D42967">
        <w:rPr>
          <w:bCs/>
          <w:sz w:val="28"/>
          <w:szCs w:val="28"/>
        </w:rPr>
        <w:t xml:space="preserve">Особое внимание уделено воздействию антимонопольной политике ЕС на приобретение российскими компаниями контроля над активами европейских </w:t>
      </w:r>
      <w:r w:rsidR="00D42967" w:rsidRPr="00D42967">
        <w:rPr>
          <w:bCs/>
          <w:sz w:val="28"/>
          <w:szCs w:val="28"/>
        </w:rPr>
        <w:t xml:space="preserve">компаний.  </w:t>
      </w:r>
      <w:r w:rsidR="002E2F0A">
        <w:rPr>
          <w:sz w:val="28"/>
          <w:szCs w:val="28"/>
        </w:rPr>
        <w:t xml:space="preserve">В рамках </w:t>
      </w:r>
      <w:r w:rsidR="00D42967" w:rsidRPr="00D42967">
        <w:rPr>
          <w:sz w:val="28"/>
          <w:szCs w:val="28"/>
        </w:rPr>
        <w:t>цели  работы поставлены следующие задачи:</w:t>
      </w:r>
    </w:p>
    <w:p w14:paraId="26049651" w14:textId="7D4A6506" w:rsidR="00084711" w:rsidRDefault="00084711" w:rsidP="00B32241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84711">
        <w:rPr>
          <w:sz w:val="28"/>
          <w:szCs w:val="28"/>
        </w:rPr>
        <w:t xml:space="preserve">Исследовать </w:t>
      </w:r>
      <w:r w:rsidR="00EC4C64">
        <w:rPr>
          <w:sz w:val="28"/>
          <w:szCs w:val="28"/>
        </w:rPr>
        <w:t xml:space="preserve">развитие процессов </w:t>
      </w:r>
      <w:r w:rsidRPr="00084711">
        <w:rPr>
          <w:sz w:val="28"/>
          <w:szCs w:val="28"/>
        </w:rPr>
        <w:t xml:space="preserve"> слияний и поглощений, их мотивы</w:t>
      </w:r>
      <w:r w:rsidR="00B32241" w:rsidRPr="00084711">
        <w:rPr>
          <w:sz w:val="28"/>
          <w:szCs w:val="28"/>
        </w:rPr>
        <w:t xml:space="preserve"> и последствия</w:t>
      </w:r>
      <w:r>
        <w:rPr>
          <w:sz w:val="28"/>
          <w:szCs w:val="28"/>
        </w:rPr>
        <w:t>.</w:t>
      </w:r>
    </w:p>
    <w:p w14:paraId="24B98B38" w14:textId="35449D1C" w:rsidR="00B32241" w:rsidRPr="002E2F0A" w:rsidRDefault="00B32241" w:rsidP="002E2F0A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E2F0A">
        <w:rPr>
          <w:sz w:val="28"/>
          <w:szCs w:val="28"/>
        </w:rPr>
        <w:t>Рассмотре</w:t>
      </w:r>
      <w:r w:rsidR="002E2F0A" w:rsidRPr="002E2F0A">
        <w:rPr>
          <w:sz w:val="28"/>
          <w:szCs w:val="28"/>
        </w:rPr>
        <w:t xml:space="preserve">ть </w:t>
      </w:r>
      <w:r w:rsidR="002E2F0A">
        <w:rPr>
          <w:sz w:val="28"/>
          <w:szCs w:val="28"/>
        </w:rPr>
        <w:t>антимонопольное законодательство ЕС, этапы его развития и состояние на сегодняшний день.</w:t>
      </w:r>
    </w:p>
    <w:p w14:paraId="7D1EADBF" w14:textId="45C72219" w:rsidR="00B32241" w:rsidRDefault="00F96B64" w:rsidP="002E2F0A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критику в адрес конкурентной политики ЕС.</w:t>
      </w:r>
    </w:p>
    <w:p w14:paraId="0D4C5E37" w14:textId="435405E7" w:rsidR="00F96B64" w:rsidRPr="00EC4C64" w:rsidRDefault="005534BC" w:rsidP="00F96B64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C4C64">
        <w:rPr>
          <w:sz w:val="28"/>
          <w:szCs w:val="28"/>
        </w:rPr>
        <w:t>Выявит</w:t>
      </w:r>
      <w:r w:rsidR="00231C05" w:rsidRPr="00EC4C64">
        <w:rPr>
          <w:sz w:val="28"/>
          <w:szCs w:val="28"/>
        </w:rPr>
        <w:t xml:space="preserve">ь дальнейшие векторы развития </w:t>
      </w:r>
      <w:r w:rsidR="00EC4C64">
        <w:rPr>
          <w:sz w:val="28"/>
          <w:szCs w:val="28"/>
        </w:rPr>
        <w:t>антимонопо</w:t>
      </w:r>
      <w:r w:rsidR="00981344">
        <w:rPr>
          <w:sz w:val="28"/>
          <w:szCs w:val="28"/>
        </w:rPr>
        <w:t xml:space="preserve">льного законодательства ЕС, </w:t>
      </w:r>
      <w:r w:rsidRPr="00EC4C64">
        <w:rPr>
          <w:sz w:val="28"/>
          <w:szCs w:val="28"/>
        </w:rPr>
        <w:t xml:space="preserve"> влияние</w:t>
      </w:r>
      <w:r w:rsidR="00981344">
        <w:rPr>
          <w:sz w:val="28"/>
          <w:szCs w:val="28"/>
        </w:rPr>
        <w:t xml:space="preserve"> конкурентной политики ЕС</w:t>
      </w:r>
      <w:r w:rsidRPr="00EC4C64">
        <w:rPr>
          <w:sz w:val="28"/>
          <w:szCs w:val="28"/>
        </w:rPr>
        <w:t xml:space="preserve"> на российские компании</w:t>
      </w:r>
      <w:r w:rsidR="00EC4C64">
        <w:rPr>
          <w:sz w:val="28"/>
          <w:szCs w:val="28"/>
        </w:rPr>
        <w:t>.</w:t>
      </w:r>
    </w:p>
    <w:p w14:paraId="45E81BC0" w14:textId="3A1F689B" w:rsidR="00B32241" w:rsidRPr="00B32241" w:rsidRDefault="00B32241" w:rsidP="00F96B64">
      <w:pPr>
        <w:spacing w:line="360" w:lineRule="auto"/>
        <w:ind w:firstLine="360"/>
        <w:jc w:val="both"/>
        <w:rPr>
          <w:sz w:val="28"/>
          <w:szCs w:val="28"/>
        </w:rPr>
      </w:pPr>
      <w:r w:rsidRPr="00B32241">
        <w:rPr>
          <w:bCs/>
          <w:sz w:val="28"/>
          <w:szCs w:val="28"/>
        </w:rPr>
        <w:t>Методологи</w:t>
      </w:r>
      <w:r w:rsidR="00F96B64">
        <w:rPr>
          <w:bCs/>
          <w:sz w:val="28"/>
          <w:szCs w:val="28"/>
        </w:rPr>
        <w:t>ческой базой работы являются законодательные акты Европейского союза и Российской Федерации, работы отечественных и зарубежных исследователей проблемы политики ЕС по слияниям и поглощениям.</w:t>
      </w:r>
    </w:p>
    <w:p w14:paraId="63EE1ED0" w14:textId="77777777" w:rsidR="00B32241" w:rsidRDefault="00B32241" w:rsidP="00B32241">
      <w:pPr>
        <w:spacing w:line="360" w:lineRule="auto"/>
        <w:jc w:val="both"/>
        <w:rPr>
          <w:b/>
          <w:sz w:val="32"/>
          <w:szCs w:val="28"/>
        </w:rPr>
      </w:pPr>
    </w:p>
    <w:p w14:paraId="4120F55E" w14:textId="77777777" w:rsidR="00B32241" w:rsidRDefault="00B32241" w:rsidP="00B32241">
      <w:pPr>
        <w:spacing w:line="360" w:lineRule="auto"/>
        <w:jc w:val="both"/>
        <w:rPr>
          <w:b/>
          <w:sz w:val="32"/>
          <w:szCs w:val="28"/>
        </w:rPr>
      </w:pPr>
    </w:p>
    <w:p w14:paraId="2871EEE4" w14:textId="77777777" w:rsidR="00B32241" w:rsidRDefault="00B32241" w:rsidP="00B32241">
      <w:pPr>
        <w:spacing w:line="360" w:lineRule="auto"/>
        <w:jc w:val="both"/>
        <w:rPr>
          <w:b/>
          <w:sz w:val="32"/>
          <w:szCs w:val="28"/>
        </w:rPr>
      </w:pPr>
    </w:p>
    <w:p w14:paraId="2FE1930B" w14:textId="77777777" w:rsidR="00F96B64" w:rsidRDefault="00F96B64" w:rsidP="00B32241">
      <w:pPr>
        <w:spacing w:line="360" w:lineRule="auto"/>
        <w:jc w:val="both"/>
        <w:rPr>
          <w:b/>
          <w:sz w:val="32"/>
          <w:szCs w:val="28"/>
        </w:rPr>
      </w:pPr>
    </w:p>
    <w:p w14:paraId="7BD2D8AC" w14:textId="77777777" w:rsidR="00F96B64" w:rsidRDefault="00F96B64" w:rsidP="00B32241">
      <w:pPr>
        <w:spacing w:line="360" w:lineRule="auto"/>
        <w:jc w:val="both"/>
        <w:rPr>
          <w:b/>
          <w:sz w:val="32"/>
          <w:szCs w:val="28"/>
        </w:rPr>
      </w:pPr>
    </w:p>
    <w:p w14:paraId="0BED1CA2" w14:textId="77777777" w:rsidR="00B32241" w:rsidRDefault="00B32241" w:rsidP="00B32241">
      <w:pPr>
        <w:spacing w:line="360" w:lineRule="auto"/>
        <w:jc w:val="both"/>
        <w:rPr>
          <w:b/>
          <w:sz w:val="32"/>
          <w:szCs w:val="28"/>
        </w:rPr>
      </w:pPr>
    </w:p>
    <w:p w14:paraId="2064790D" w14:textId="77777777" w:rsidR="00F85E1C" w:rsidRDefault="00F85E1C" w:rsidP="00B32241">
      <w:pPr>
        <w:spacing w:line="360" w:lineRule="auto"/>
        <w:jc w:val="both"/>
        <w:rPr>
          <w:b/>
          <w:sz w:val="32"/>
          <w:szCs w:val="28"/>
        </w:rPr>
      </w:pPr>
    </w:p>
    <w:p w14:paraId="462E92B2" w14:textId="68D0D29B" w:rsidR="00EF6BA3" w:rsidRPr="006F3F43" w:rsidRDefault="00D12666" w:rsidP="006F3F43">
      <w:pPr>
        <w:pStyle w:val="ListParagraph"/>
        <w:numPr>
          <w:ilvl w:val="0"/>
          <w:numId w:val="24"/>
        </w:numPr>
        <w:spacing w:line="360" w:lineRule="auto"/>
        <w:jc w:val="center"/>
        <w:rPr>
          <w:b/>
          <w:sz w:val="32"/>
          <w:szCs w:val="32"/>
        </w:rPr>
      </w:pPr>
      <w:r w:rsidRPr="006F3F43">
        <w:rPr>
          <w:b/>
          <w:sz w:val="32"/>
          <w:szCs w:val="32"/>
        </w:rPr>
        <w:t>Слияния и поглощения в условиях глобализации</w:t>
      </w:r>
    </w:p>
    <w:p w14:paraId="227FC7B9" w14:textId="424ED68C" w:rsidR="0039350E" w:rsidRPr="00731138" w:rsidRDefault="00731138" w:rsidP="006F3F4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1.1. </w:t>
      </w:r>
      <w:r w:rsidR="00234073" w:rsidRPr="00731138">
        <w:rPr>
          <w:b/>
          <w:sz w:val="32"/>
          <w:szCs w:val="32"/>
        </w:rPr>
        <w:t>Поняти</w:t>
      </w:r>
      <w:r w:rsidRPr="00731138">
        <w:rPr>
          <w:b/>
          <w:sz w:val="32"/>
          <w:szCs w:val="32"/>
        </w:rPr>
        <w:t>е и мотивы слияний и поглощений</w:t>
      </w:r>
    </w:p>
    <w:p w14:paraId="119B5340" w14:textId="77777777" w:rsidR="004C7D4F" w:rsidRPr="00FE0540" w:rsidRDefault="004C7D4F" w:rsidP="006F3F43">
      <w:pPr>
        <w:spacing w:line="360" w:lineRule="auto"/>
        <w:jc w:val="both"/>
        <w:rPr>
          <w:sz w:val="26"/>
          <w:szCs w:val="26"/>
        </w:rPr>
      </w:pPr>
    </w:p>
    <w:p w14:paraId="50657375" w14:textId="65BA54A7" w:rsidR="00832577" w:rsidRPr="00FE0540" w:rsidRDefault="0039350E" w:rsidP="006F3F43">
      <w:pPr>
        <w:spacing w:line="360" w:lineRule="auto"/>
        <w:ind w:firstLine="4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 xml:space="preserve">Слияния и поглощения </w:t>
      </w:r>
      <w:r w:rsidR="00A32340">
        <w:rPr>
          <w:sz w:val="28"/>
          <w:szCs w:val="28"/>
        </w:rPr>
        <w:t>представляют собой</w:t>
      </w:r>
      <w:r w:rsidRPr="00FE0540">
        <w:rPr>
          <w:sz w:val="28"/>
          <w:szCs w:val="28"/>
        </w:rPr>
        <w:t xml:space="preserve"> сделки</w:t>
      </w:r>
      <w:r w:rsidR="00832577" w:rsidRPr="00FE0540">
        <w:rPr>
          <w:sz w:val="28"/>
          <w:szCs w:val="28"/>
        </w:rPr>
        <w:t xml:space="preserve"> по укрупнению бизнеса и капитала, которые подразумевают передачу прав собственности и смену контроля над предприятием. </w:t>
      </w:r>
    </w:p>
    <w:p w14:paraId="6324E638" w14:textId="558282CA" w:rsidR="00582F5A" w:rsidRPr="00FE0540" w:rsidRDefault="00DA0473" w:rsidP="00582F5A">
      <w:pPr>
        <w:spacing w:line="360" w:lineRule="auto"/>
        <w:ind w:firstLine="4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>Понятия слияния и поглощения не имеют четкого разграничения</w:t>
      </w:r>
      <w:r w:rsidR="00906C3F">
        <w:rPr>
          <w:sz w:val="28"/>
          <w:szCs w:val="28"/>
        </w:rPr>
        <w:t>, причем</w:t>
      </w:r>
      <w:r w:rsidR="00EB0C02" w:rsidRPr="00FE0540">
        <w:rPr>
          <w:sz w:val="28"/>
          <w:szCs w:val="28"/>
        </w:rPr>
        <w:t xml:space="preserve"> </w:t>
      </w:r>
      <w:r w:rsidR="00906C3F">
        <w:rPr>
          <w:sz w:val="28"/>
          <w:szCs w:val="28"/>
        </w:rPr>
        <w:t>в</w:t>
      </w:r>
      <w:r w:rsidR="00582F5A" w:rsidRPr="00FE0540">
        <w:rPr>
          <w:sz w:val="28"/>
          <w:szCs w:val="28"/>
        </w:rPr>
        <w:t xml:space="preserve"> западной литературе поглощение </w:t>
      </w:r>
      <w:r w:rsidR="00906C3F">
        <w:rPr>
          <w:sz w:val="28"/>
          <w:szCs w:val="28"/>
        </w:rPr>
        <w:t>считается более широким</w:t>
      </w:r>
      <w:r w:rsidR="00582F5A" w:rsidRPr="00FE0540">
        <w:rPr>
          <w:sz w:val="28"/>
          <w:szCs w:val="28"/>
        </w:rPr>
        <w:t xml:space="preserve"> термином, </w:t>
      </w:r>
      <w:r w:rsidR="00906C3F">
        <w:rPr>
          <w:sz w:val="28"/>
          <w:szCs w:val="28"/>
        </w:rPr>
        <w:t>использующимся</w:t>
      </w:r>
      <w:r w:rsidR="00582F5A" w:rsidRPr="00FE0540">
        <w:rPr>
          <w:sz w:val="28"/>
          <w:szCs w:val="28"/>
        </w:rPr>
        <w:t xml:space="preserve"> для описания передачи собственности</w:t>
      </w:r>
      <w:r w:rsidR="00906C3F">
        <w:rPr>
          <w:sz w:val="28"/>
          <w:szCs w:val="28"/>
        </w:rPr>
        <w:t xml:space="preserve">. </w:t>
      </w:r>
      <w:r w:rsidR="00582F5A" w:rsidRPr="00FE0540">
        <w:rPr>
          <w:sz w:val="28"/>
          <w:szCs w:val="28"/>
        </w:rPr>
        <w:t>«Корпоративное поглощение - это процесс, предполагающий, что акции или активы корпорации становятся собственностью покупателя. Данная сделка может принять форму по</w:t>
      </w:r>
      <w:r w:rsidR="00FE2ADF">
        <w:rPr>
          <w:sz w:val="28"/>
          <w:szCs w:val="28"/>
        </w:rPr>
        <w:t>купки акций или покупки активов</w:t>
      </w:r>
      <w:r w:rsidR="00582F5A" w:rsidRPr="00FE0540">
        <w:rPr>
          <w:sz w:val="28"/>
          <w:szCs w:val="28"/>
        </w:rPr>
        <w:t>»</w:t>
      </w:r>
      <w:r w:rsidR="008640D3">
        <w:rPr>
          <w:sz w:val="28"/>
          <w:szCs w:val="28"/>
        </w:rPr>
        <w:t>.</w:t>
      </w:r>
      <w:r w:rsidR="00582F5A" w:rsidRPr="00FE0540">
        <w:rPr>
          <w:rStyle w:val="FootnoteReference"/>
          <w:sz w:val="28"/>
          <w:szCs w:val="28"/>
        </w:rPr>
        <w:footnoteReference w:id="1"/>
      </w:r>
      <w:r w:rsidR="004C7D4F" w:rsidRPr="00FE0540">
        <w:rPr>
          <w:sz w:val="28"/>
          <w:szCs w:val="28"/>
        </w:rPr>
        <w:t xml:space="preserve"> Таким образом</w:t>
      </w:r>
      <w:r w:rsidR="00FE2ADF">
        <w:rPr>
          <w:sz w:val="28"/>
          <w:szCs w:val="28"/>
        </w:rPr>
        <w:t xml:space="preserve">, </w:t>
      </w:r>
      <w:r w:rsidR="004C7D4F" w:rsidRPr="00FE0540">
        <w:rPr>
          <w:sz w:val="28"/>
          <w:szCs w:val="28"/>
        </w:rPr>
        <w:t>над поглощаемой компанией или активом устанавливается полный контроль как в юридическом, так и в физическом смысле.</w:t>
      </w:r>
    </w:p>
    <w:p w14:paraId="01AD2EBE" w14:textId="77777777" w:rsidR="00A24E0F" w:rsidRDefault="00582F5A" w:rsidP="00A24E0F">
      <w:pPr>
        <w:spacing w:line="360" w:lineRule="auto"/>
        <w:ind w:firstLine="4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 xml:space="preserve">"Слиянием называется объединение двух корпораций, в котором выживает только одна из них, а другая прекращает свое существование. </w:t>
      </w:r>
      <w:r w:rsidR="00832577" w:rsidRPr="00FE0540">
        <w:rPr>
          <w:sz w:val="28"/>
          <w:szCs w:val="28"/>
        </w:rPr>
        <w:t>В результате слияния поглощающая компания присоединяет к себе активы поглощаемой фирмы.</w:t>
      </w:r>
      <w:r w:rsidR="004C7D4F" w:rsidRPr="00FE0540">
        <w:rPr>
          <w:sz w:val="28"/>
          <w:szCs w:val="28"/>
        </w:rPr>
        <w:t xml:space="preserve"> </w:t>
      </w:r>
      <w:r w:rsidRPr="00FE0540">
        <w:rPr>
          <w:sz w:val="28"/>
          <w:szCs w:val="28"/>
        </w:rPr>
        <w:t>Существует также специфическая форма слияний, называемая консолидацией. Консолидация представляет собой соединение предприятий, в котором две или более компаний объединяются, чтобы образовать совершенно новую компанию. Объединяющиеся компании ликвидируются, и продолжает существование новое юридическое лицо."</w:t>
      </w:r>
      <w:r w:rsidRPr="00FE0540">
        <w:rPr>
          <w:rStyle w:val="FootnoteReference"/>
          <w:sz w:val="28"/>
          <w:szCs w:val="28"/>
        </w:rPr>
        <w:footnoteReference w:id="2"/>
      </w:r>
    </w:p>
    <w:p w14:paraId="040BCE8D" w14:textId="18520792" w:rsidR="00582F5A" w:rsidRDefault="00582F5A" w:rsidP="00A24E0F">
      <w:pPr>
        <w:spacing w:line="360" w:lineRule="auto"/>
        <w:ind w:firstLine="4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>В российской практике слияния п</w:t>
      </w:r>
      <w:r w:rsidR="00B30B02">
        <w:rPr>
          <w:sz w:val="28"/>
          <w:szCs w:val="28"/>
        </w:rPr>
        <w:t>редполагают</w:t>
      </w:r>
      <w:r w:rsidRPr="00FE0540">
        <w:rPr>
          <w:sz w:val="28"/>
          <w:szCs w:val="28"/>
        </w:rPr>
        <w:t xml:space="preserve"> по</w:t>
      </w:r>
      <w:r w:rsidR="00981344">
        <w:rPr>
          <w:sz w:val="28"/>
          <w:szCs w:val="28"/>
        </w:rPr>
        <w:t>следующее обязательное единство также в юридическом плане</w:t>
      </w:r>
      <w:r w:rsidR="00180A9C">
        <w:rPr>
          <w:sz w:val="28"/>
          <w:szCs w:val="28"/>
        </w:rPr>
        <w:t>, которое обеспечивается</w:t>
      </w:r>
      <w:r w:rsidRPr="00FE0540">
        <w:rPr>
          <w:sz w:val="28"/>
          <w:szCs w:val="28"/>
        </w:rPr>
        <w:t xml:space="preserve"> путем </w:t>
      </w:r>
      <w:r w:rsidRPr="00FE0540">
        <w:rPr>
          <w:sz w:val="28"/>
          <w:szCs w:val="28"/>
        </w:rPr>
        <w:lastRenderedPageBreak/>
        <w:t>со</w:t>
      </w:r>
      <w:r w:rsidR="00B30B02">
        <w:rPr>
          <w:sz w:val="28"/>
          <w:szCs w:val="28"/>
        </w:rPr>
        <w:t>здания нового юридического лица</w:t>
      </w:r>
      <w:r w:rsidRPr="00FE0540">
        <w:rPr>
          <w:sz w:val="28"/>
          <w:szCs w:val="28"/>
        </w:rPr>
        <w:t xml:space="preserve"> </w:t>
      </w:r>
      <w:r w:rsidR="00B30B02">
        <w:rPr>
          <w:sz w:val="28"/>
          <w:szCs w:val="28"/>
        </w:rPr>
        <w:t>или ликвидации</w:t>
      </w:r>
      <w:r w:rsidRPr="00FE0540">
        <w:rPr>
          <w:sz w:val="28"/>
          <w:szCs w:val="28"/>
        </w:rPr>
        <w:t xml:space="preserve"> присоединяемого субъекта.</w:t>
      </w:r>
      <w:r w:rsidR="00712E10" w:rsidRPr="00FE0540">
        <w:rPr>
          <w:rStyle w:val="FootnoteReference"/>
          <w:sz w:val="28"/>
          <w:szCs w:val="28"/>
        </w:rPr>
        <w:footnoteReference w:id="3"/>
      </w:r>
    </w:p>
    <w:p w14:paraId="66748A58" w14:textId="3D7A86B5" w:rsidR="000F79CA" w:rsidRPr="000F79CA" w:rsidRDefault="00906C3F" w:rsidP="00582F5A">
      <w:pPr>
        <w:spacing w:line="360" w:lineRule="auto"/>
        <w:ind w:firstLine="420"/>
        <w:jc w:val="both"/>
        <w:rPr>
          <w:rFonts w:ascii="Times" w:eastAsiaTheme="minorEastAsia" w:hAnsi="Times" w:cs="Times"/>
          <w:color w:val="252525"/>
          <w:sz w:val="28"/>
          <w:szCs w:val="28"/>
          <w:lang w:val="en-US" w:eastAsia="en-US"/>
        </w:rPr>
      </w:pPr>
      <w:r>
        <w:rPr>
          <w:rFonts w:eastAsiaTheme="minorEastAsia"/>
          <w:color w:val="252525"/>
          <w:sz w:val="28"/>
          <w:szCs w:val="28"/>
          <w:lang w:eastAsia="en-US"/>
        </w:rPr>
        <w:t>Также необходимо отметить, что сделки</w:t>
      </w:r>
      <w:r w:rsidR="009804C4" w:rsidRPr="009804C4">
        <w:rPr>
          <w:rFonts w:eastAsiaTheme="minorEastAsia"/>
          <w:color w:val="252525"/>
          <w:sz w:val="28"/>
          <w:szCs w:val="28"/>
          <w:lang w:eastAsia="en-US"/>
        </w:rPr>
        <w:t xml:space="preserve"> </w:t>
      </w:r>
      <w:r w:rsidR="009804C4">
        <w:rPr>
          <w:rFonts w:eastAsiaTheme="minorEastAsia"/>
          <w:color w:val="252525"/>
          <w:sz w:val="28"/>
          <w:szCs w:val="28"/>
          <w:lang w:eastAsia="en-US"/>
        </w:rPr>
        <w:t>с</w:t>
      </w:r>
      <w:r w:rsid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>лияни</w:t>
      </w:r>
      <w:r>
        <w:rPr>
          <w:rFonts w:eastAsiaTheme="minorEastAsia"/>
          <w:color w:val="252525"/>
          <w:sz w:val="28"/>
          <w:szCs w:val="28"/>
          <w:lang w:eastAsia="en-US"/>
        </w:rPr>
        <w:t>й</w:t>
      </w:r>
      <w:r w:rsidR="009804C4" w:rsidRP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и </w:t>
      </w:r>
      <w:r w:rsid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>поглощени</w:t>
      </w:r>
      <w:r>
        <w:rPr>
          <w:rFonts w:eastAsiaTheme="minorEastAsia"/>
          <w:color w:val="252525"/>
          <w:sz w:val="28"/>
          <w:szCs w:val="28"/>
          <w:lang w:eastAsia="en-US"/>
        </w:rPr>
        <w:t xml:space="preserve">й могут совершаться путем </w:t>
      </w:r>
      <w:r w:rsidRP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>приобретения контрольного пакета акций или</w:t>
      </w:r>
      <w:r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</w:t>
      </w:r>
      <w:r>
        <w:rPr>
          <w:rFonts w:eastAsiaTheme="minorEastAsia" w:cs="Times"/>
          <w:color w:val="252525"/>
          <w:sz w:val="28"/>
          <w:szCs w:val="28"/>
          <w:lang w:eastAsia="en-US"/>
        </w:rPr>
        <w:t>лишь</w:t>
      </w:r>
      <w:r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доли капитал</w:t>
      </w:r>
      <w:r>
        <w:rPr>
          <w:rFonts w:eastAsiaTheme="minorEastAsia" w:cs="Times"/>
          <w:color w:val="252525"/>
          <w:sz w:val="28"/>
          <w:szCs w:val="28"/>
          <w:lang w:eastAsia="en-US"/>
        </w:rPr>
        <w:t xml:space="preserve">а. </w:t>
      </w:r>
      <w:r w:rsidR="000F79CA">
        <w:rPr>
          <w:rFonts w:eastAsiaTheme="minorEastAsia" w:cs="Times"/>
          <w:color w:val="252525"/>
          <w:sz w:val="28"/>
          <w:szCs w:val="28"/>
          <w:lang w:eastAsia="en-US"/>
        </w:rPr>
        <w:t xml:space="preserve">Во втором случае сделка не приводит к </w:t>
      </w:r>
      <w:r w:rsidR="000F79CA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>изменению юридическо</w:t>
      </w:r>
      <w:r w:rsidR="000F79CA">
        <w:rPr>
          <w:rFonts w:eastAsiaTheme="minorEastAsia" w:cs="Times"/>
          <w:color w:val="252525"/>
          <w:sz w:val="28"/>
          <w:szCs w:val="28"/>
          <w:lang w:eastAsia="en-US"/>
        </w:rPr>
        <w:t>г</w:t>
      </w:r>
      <w:r w:rsidR="000F79CA" w:rsidRP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>о статуса</w:t>
      </w:r>
      <w:r w:rsidR="000F79CA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</w:t>
      </w:r>
      <w:r w:rsidR="000F79CA">
        <w:rPr>
          <w:rFonts w:eastAsiaTheme="minorEastAsia" w:cs="Times"/>
          <w:color w:val="252525"/>
          <w:sz w:val="28"/>
          <w:szCs w:val="28"/>
          <w:lang w:eastAsia="en-US"/>
        </w:rPr>
        <w:t>компании</w:t>
      </w:r>
      <w:r w:rsidR="000F79CA" w:rsidRP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и прекращению</w:t>
      </w:r>
      <w:r w:rsidR="000F79CA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</w:t>
      </w:r>
      <w:r w:rsidR="000F79CA">
        <w:rPr>
          <w:rFonts w:eastAsiaTheme="minorEastAsia" w:cs="Times"/>
          <w:color w:val="252525"/>
          <w:sz w:val="28"/>
          <w:szCs w:val="28"/>
          <w:lang w:eastAsia="en-US"/>
        </w:rPr>
        <w:t>ее</w:t>
      </w:r>
      <w:r w:rsidR="000F79CA" w:rsidRPr="009804C4">
        <w:rPr>
          <w:rFonts w:ascii="Times" w:eastAsiaTheme="minorEastAsia" w:hAnsi="Times" w:cs="Times"/>
          <w:color w:val="252525"/>
          <w:sz w:val="28"/>
          <w:szCs w:val="28"/>
          <w:lang w:eastAsia="en-US"/>
        </w:rPr>
        <w:t xml:space="preserve"> деятельности</w:t>
      </w:r>
      <w:r w:rsidR="000F79CA">
        <w:rPr>
          <w:rFonts w:ascii="Times" w:eastAsiaTheme="minorEastAsia" w:hAnsi="Times" w:cs="Times"/>
          <w:color w:val="252525"/>
          <w:sz w:val="28"/>
          <w:szCs w:val="28"/>
          <w:lang w:val="en-US" w:eastAsia="en-US"/>
        </w:rPr>
        <w:t>.</w:t>
      </w:r>
    </w:p>
    <w:p w14:paraId="3299AE8A" w14:textId="6E089E7B" w:rsidR="001D6802" w:rsidRDefault="001D6802" w:rsidP="00582F5A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7C82">
        <w:rPr>
          <w:sz w:val="28"/>
          <w:szCs w:val="28"/>
        </w:rPr>
        <w:t>делки с</w:t>
      </w:r>
      <w:r w:rsidR="00952BC7">
        <w:rPr>
          <w:sz w:val="28"/>
          <w:szCs w:val="28"/>
        </w:rPr>
        <w:t>лияний и поглощений</w:t>
      </w:r>
      <w:r>
        <w:rPr>
          <w:sz w:val="28"/>
          <w:szCs w:val="28"/>
        </w:rPr>
        <w:t xml:space="preserve"> классифицируются по </w:t>
      </w:r>
      <w:r w:rsidR="00F27C82">
        <w:rPr>
          <w:sz w:val="28"/>
          <w:szCs w:val="28"/>
        </w:rPr>
        <w:t>различным признакам. В зависимости от характера интеграции выделяют следующие виды слияний и поглощений:</w:t>
      </w:r>
    </w:p>
    <w:p w14:paraId="10875E95" w14:textId="5C7893CE" w:rsidR="00F27C82" w:rsidRDefault="002E7768" w:rsidP="00F27C82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Горизонтальные слияния происходят, когда объединяются два конкурента</w:t>
      </w:r>
      <w:r w:rsidR="004D5BE2">
        <w:rPr>
          <w:sz w:val="28"/>
          <w:szCs w:val="28"/>
        </w:rPr>
        <w:t>.</w:t>
      </w:r>
    </w:p>
    <w:p w14:paraId="26BCB0E8" w14:textId="42386725" w:rsidR="002E7768" w:rsidRDefault="002E7768" w:rsidP="00F27C82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r w:rsidR="00952BC7">
        <w:rPr>
          <w:sz w:val="28"/>
          <w:szCs w:val="28"/>
        </w:rPr>
        <w:t>ртикальные слияния – объединения</w:t>
      </w:r>
      <w:r>
        <w:rPr>
          <w:sz w:val="28"/>
          <w:szCs w:val="28"/>
        </w:rPr>
        <w:t xml:space="preserve"> компаний, имеющ</w:t>
      </w:r>
      <w:r w:rsidR="00B66855">
        <w:rPr>
          <w:sz w:val="28"/>
          <w:szCs w:val="28"/>
        </w:rPr>
        <w:t>и</w:t>
      </w:r>
      <w:r>
        <w:rPr>
          <w:sz w:val="28"/>
          <w:szCs w:val="28"/>
        </w:rPr>
        <w:t>х отношения покупателя и продавц</w:t>
      </w:r>
      <w:r w:rsidR="00B66855">
        <w:rPr>
          <w:sz w:val="28"/>
          <w:szCs w:val="28"/>
        </w:rPr>
        <w:t>а</w:t>
      </w:r>
      <w:r w:rsidR="004D5BE2">
        <w:rPr>
          <w:sz w:val="28"/>
          <w:szCs w:val="28"/>
        </w:rPr>
        <w:t>.</w:t>
      </w:r>
    </w:p>
    <w:p w14:paraId="17E6BCF0" w14:textId="241473E2" w:rsidR="00B66855" w:rsidRDefault="00B66855" w:rsidP="00F27C82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Конг</w:t>
      </w:r>
      <w:r w:rsidR="00D92696">
        <w:rPr>
          <w:sz w:val="28"/>
          <w:szCs w:val="28"/>
        </w:rPr>
        <w:t>ломератные слияния – объединения</w:t>
      </w:r>
      <w:r>
        <w:rPr>
          <w:sz w:val="28"/>
          <w:szCs w:val="28"/>
        </w:rPr>
        <w:t xml:space="preserve"> компаний из разных сфер экономической деятельности</w:t>
      </w:r>
      <w:r w:rsidR="004D5BE2">
        <w:rPr>
          <w:sz w:val="28"/>
          <w:szCs w:val="28"/>
        </w:rPr>
        <w:t>.</w:t>
      </w:r>
    </w:p>
    <w:p w14:paraId="1B942A70" w14:textId="22ECFBE0" w:rsidR="00B66855" w:rsidRDefault="00B66855" w:rsidP="00F27C82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Родовые слияния </w:t>
      </w:r>
      <w:r w:rsidRPr="005534BC">
        <w:rPr>
          <w:sz w:val="28"/>
          <w:szCs w:val="28"/>
        </w:rPr>
        <w:t xml:space="preserve"> - </w:t>
      </w:r>
      <w:r w:rsidR="00D92696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компаний, выпускающих взаимосвязанные товары</w:t>
      </w:r>
      <w:r w:rsidR="004D5BE2">
        <w:rPr>
          <w:sz w:val="28"/>
          <w:szCs w:val="28"/>
        </w:rPr>
        <w:t>.</w:t>
      </w:r>
    </w:p>
    <w:p w14:paraId="072192A4" w14:textId="66B6073C" w:rsidR="00B66855" w:rsidRDefault="007C4026" w:rsidP="007C4026">
      <w:pPr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По географическому признаку сделки классифицируются на:</w:t>
      </w:r>
    </w:p>
    <w:p w14:paraId="7ED5AF61" w14:textId="60CE5498" w:rsidR="007C4026" w:rsidRDefault="007C4026" w:rsidP="007C402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слияния – слияния компаний, функционирующих в пределах одного государства</w:t>
      </w:r>
      <w:r w:rsidR="004D5BE2">
        <w:rPr>
          <w:sz w:val="28"/>
          <w:szCs w:val="28"/>
        </w:rPr>
        <w:t>.</w:t>
      </w:r>
    </w:p>
    <w:p w14:paraId="47FFF33F" w14:textId="3E9ADC4E" w:rsidR="007C4026" w:rsidRDefault="007C4026" w:rsidP="007C402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Транснациональные слияния – объединения компаний, находящихся в разных странах.</w:t>
      </w:r>
    </w:p>
    <w:p w14:paraId="1CD6087D" w14:textId="1737FD77" w:rsidR="00FE0540" w:rsidRPr="00FE0540" w:rsidRDefault="00FE0540" w:rsidP="00582F5A">
      <w:pPr>
        <w:spacing w:line="360" w:lineRule="auto"/>
        <w:ind w:firstLine="4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>Анализируя слияния и поглощения необходимо остановиться на мотивах, которые побуждают ко</w:t>
      </w:r>
      <w:r w:rsidR="00A70B18">
        <w:rPr>
          <w:sz w:val="28"/>
          <w:szCs w:val="28"/>
        </w:rPr>
        <w:t>мпании прибегать к укрупнению пу</w:t>
      </w:r>
      <w:r w:rsidRPr="00FE0540">
        <w:rPr>
          <w:sz w:val="28"/>
          <w:szCs w:val="28"/>
        </w:rPr>
        <w:t>тем слияний и поглощений.</w:t>
      </w:r>
      <w:r w:rsidR="00E10FE1">
        <w:rPr>
          <w:sz w:val="28"/>
          <w:szCs w:val="28"/>
        </w:rPr>
        <w:t xml:space="preserve"> Выявление мотивов позволяет определить потенциальный выигрыш от сделки</w:t>
      </w:r>
      <w:r w:rsidR="00CC3B88">
        <w:rPr>
          <w:sz w:val="28"/>
          <w:szCs w:val="28"/>
        </w:rPr>
        <w:t>.</w:t>
      </w:r>
    </w:p>
    <w:p w14:paraId="1E1E60BF" w14:textId="7D7AF6F4" w:rsidR="00EC4ED3" w:rsidRDefault="00582F5A" w:rsidP="0081574E">
      <w:pPr>
        <w:spacing w:line="360" w:lineRule="auto"/>
        <w:ind w:firstLine="4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>Одним из основных мотивов</w:t>
      </w:r>
      <w:r w:rsidR="00832577" w:rsidRPr="00FE0540">
        <w:rPr>
          <w:sz w:val="28"/>
          <w:szCs w:val="28"/>
        </w:rPr>
        <w:t xml:space="preserve"> слияний и поглощений является р</w:t>
      </w:r>
      <w:r w:rsidRPr="00FE0540">
        <w:rPr>
          <w:sz w:val="28"/>
          <w:szCs w:val="28"/>
        </w:rPr>
        <w:t>асширение бизнеса.</w:t>
      </w:r>
      <w:r w:rsidR="00CC3B88">
        <w:rPr>
          <w:sz w:val="28"/>
          <w:szCs w:val="28"/>
        </w:rPr>
        <w:t xml:space="preserve"> Слияния и поглощения отражают стремление компании к росту и </w:t>
      </w:r>
      <w:r w:rsidR="00CC3B88">
        <w:rPr>
          <w:sz w:val="28"/>
          <w:szCs w:val="28"/>
        </w:rPr>
        <w:lastRenderedPageBreak/>
        <w:t xml:space="preserve">укреплению своих позиций на рынке, повышению конкурентоспособности </w:t>
      </w:r>
      <w:r w:rsidR="006C7023">
        <w:rPr>
          <w:sz w:val="28"/>
          <w:szCs w:val="28"/>
        </w:rPr>
        <w:t>продукции</w:t>
      </w:r>
      <w:r w:rsidR="00CC3B88">
        <w:rPr>
          <w:sz w:val="28"/>
          <w:szCs w:val="28"/>
        </w:rPr>
        <w:t>.</w:t>
      </w:r>
      <w:r w:rsidR="00F22483">
        <w:rPr>
          <w:sz w:val="28"/>
          <w:szCs w:val="28"/>
        </w:rPr>
        <w:t xml:space="preserve"> </w:t>
      </w:r>
      <w:r w:rsidR="00D23CD9">
        <w:rPr>
          <w:sz w:val="28"/>
          <w:szCs w:val="28"/>
        </w:rPr>
        <w:t>Расшир</w:t>
      </w:r>
      <w:r w:rsidR="0081574E">
        <w:rPr>
          <w:sz w:val="28"/>
          <w:szCs w:val="28"/>
        </w:rPr>
        <w:t xml:space="preserve">ение </w:t>
      </w:r>
      <w:r w:rsidR="00D23CD9">
        <w:rPr>
          <w:sz w:val="28"/>
          <w:szCs w:val="28"/>
        </w:rPr>
        <w:t>бизнеса внутри отрасли путем слияний и поглощений может быть рациональнее внутреннего роста компании: приобретение компании, которая уже имеет необходимые ресурсы позволяет сократить издержки и сэкономить время. П</w:t>
      </w:r>
      <w:r w:rsidR="00180A9C">
        <w:rPr>
          <w:sz w:val="28"/>
          <w:szCs w:val="28"/>
        </w:rPr>
        <w:t>окупка компании в нише</w:t>
      </w:r>
      <w:r w:rsidRPr="00FE0540">
        <w:rPr>
          <w:sz w:val="28"/>
          <w:szCs w:val="28"/>
        </w:rPr>
        <w:t xml:space="preserve"> либо географической зоне, куда хочет проникнуть компания-покупатель, может оказаться идеальным способ</w:t>
      </w:r>
      <w:r w:rsidR="004E60D6" w:rsidRPr="00FE0540">
        <w:rPr>
          <w:sz w:val="28"/>
          <w:szCs w:val="28"/>
        </w:rPr>
        <w:t>ом</w:t>
      </w:r>
      <w:r w:rsidRPr="00FE0540">
        <w:rPr>
          <w:sz w:val="28"/>
          <w:szCs w:val="28"/>
        </w:rPr>
        <w:t xml:space="preserve"> расширения и</w:t>
      </w:r>
      <w:r w:rsidR="00D23CD9">
        <w:rPr>
          <w:sz w:val="28"/>
          <w:szCs w:val="28"/>
        </w:rPr>
        <w:t xml:space="preserve"> достижения поставленных целей, когда компания стремиться расшириться</w:t>
      </w:r>
      <w:r w:rsidR="00736AA9">
        <w:rPr>
          <w:sz w:val="28"/>
          <w:szCs w:val="28"/>
        </w:rPr>
        <w:t xml:space="preserve"> в другой географический регион, выйти на новые рынки.</w:t>
      </w:r>
    </w:p>
    <w:p w14:paraId="70CEBC7F" w14:textId="71A943F8" w:rsidR="00926658" w:rsidRPr="00FE0540" w:rsidRDefault="00926658" w:rsidP="00926658">
      <w:pPr>
        <w:spacing w:line="360" w:lineRule="auto"/>
        <w:ind w:firstLine="7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>Разница технологий является стимулом для горизонтальных слияний и поглощений. Компании с более низкими издержками приобретают</w:t>
      </w:r>
      <w:r w:rsidR="006C7023">
        <w:rPr>
          <w:sz w:val="28"/>
          <w:szCs w:val="28"/>
        </w:rPr>
        <w:t xml:space="preserve"> компании с высокими издержками, что ведет к </w:t>
      </w:r>
      <w:r w:rsidRPr="00FE0540">
        <w:rPr>
          <w:sz w:val="28"/>
          <w:szCs w:val="28"/>
        </w:rPr>
        <w:t xml:space="preserve">увеличению прибыли. </w:t>
      </w:r>
    </w:p>
    <w:p w14:paraId="4A8BD09C" w14:textId="36C398C9" w:rsidR="00926658" w:rsidRDefault="00212D01" w:rsidP="0081574E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Вертикальная интеграция происходит </w:t>
      </w:r>
      <w:r w:rsidR="00F71F51">
        <w:rPr>
          <w:sz w:val="28"/>
          <w:szCs w:val="28"/>
        </w:rPr>
        <w:t>з</w:t>
      </w:r>
      <w:r w:rsidR="006C7023">
        <w:rPr>
          <w:sz w:val="28"/>
          <w:szCs w:val="28"/>
        </w:rPr>
        <w:t>а счет</w:t>
      </w:r>
      <w:r>
        <w:rPr>
          <w:sz w:val="28"/>
          <w:szCs w:val="28"/>
        </w:rPr>
        <w:t xml:space="preserve">  поглощения компаний, которые находятся ближе к источнику поставки или к конечному потребителю. Компании интегрируются, чтобы обеспечить зависимый источник снабжения, снизить скл</w:t>
      </w:r>
      <w:r w:rsidR="008F46E3">
        <w:rPr>
          <w:sz w:val="28"/>
          <w:szCs w:val="28"/>
        </w:rPr>
        <w:t>адские издержки, сократить транз</w:t>
      </w:r>
      <w:r>
        <w:rPr>
          <w:sz w:val="28"/>
          <w:szCs w:val="28"/>
        </w:rPr>
        <w:t xml:space="preserve">акционные </w:t>
      </w:r>
      <w:r w:rsidR="008F46E3">
        <w:rPr>
          <w:sz w:val="28"/>
          <w:szCs w:val="28"/>
        </w:rPr>
        <w:t>издержки</w:t>
      </w:r>
      <w:r>
        <w:rPr>
          <w:sz w:val="28"/>
          <w:szCs w:val="28"/>
        </w:rPr>
        <w:t xml:space="preserve"> и избежать возможность перебоев поставок.</w:t>
      </w:r>
    </w:p>
    <w:p w14:paraId="35E4087D" w14:textId="29221C92" w:rsidR="000251ED" w:rsidRDefault="000251ED" w:rsidP="000251ED">
      <w:pPr>
        <w:spacing w:line="360" w:lineRule="auto"/>
        <w:ind w:firstLine="420"/>
        <w:jc w:val="both"/>
        <w:rPr>
          <w:sz w:val="28"/>
          <w:szCs w:val="28"/>
        </w:rPr>
      </w:pPr>
      <w:r w:rsidRPr="000251ED">
        <w:rPr>
          <w:sz w:val="28"/>
          <w:szCs w:val="28"/>
        </w:rPr>
        <w:t xml:space="preserve">Получение синергетического эффекта является </w:t>
      </w:r>
      <w:r w:rsidR="00F71F51">
        <w:rPr>
          <w:sz w:val="28"/>
          <w:szCs w:val="28"/>
        </w:rPr>
        <w:t>другим</w:t>
      </w:r>
      <w:r w:rsidRPr="000251ED">
        <w:rPr>
          <w:sz w:val="28"/>
          <w:szCs w:val="28"/>
        </w:rPr>
        <w:t xml:space="preserve"> важнейшим </w:t>
      </w:r>
      <w:r w:rsidR="006C7023">
        <w:rPr>
          <w:sz w:val="28"/>
          <w:szCs w:val="28"/>
        </w:rPr>
        <w:t>мотивом для совершения сделок слияний</w:t>
      </w:r>
      <w:r w:rsidRPr="000251ED">
        <w:rPr>
          <w:sz w:val="28"/>
          <w:szCs w:val="28"/>
        </w:rPr>
        <w:t xml:space="preserve"> и погл</w:t>
      </w:r>
      <w:r w:rsidR="006C7023">
        <w:rPr>
          <w:sz w:val="28"/>
          <w:szCs w:val="28"/>
        </w:rPr>
        <w:t>ощений</w:t>
      </w:r>
      <w:r w:rsidRPr="000251ED">
        <w:rPr>
          <w:sz w:val="28"/>
          <w:szCs w:val="28"/>
        </w:rPr>
        <w:t>. Синергия</w:t>
      </w:r>
      <w:r>
        <w:rPr>
          <w:sz w:val="28"/>
          <w:szCs w:val="28"/>
        </w:rPr>
        <w:t xml:space="preserve"> имеет место, когда два</w:t>
      </w:r>
      <w:r w:rsidRPr="000251ED">
        <w:rPr>
          <w:sz w:val="28"/>
          <w:szCs w:val="28"/>
        </w:rPr>
        <w:t xml:space="preserve"> вида экономической деятельности дополняют друг друга, то есть каждая из компаний </w:t>
      </w:r>
      <w:r w:rsidR="00F71F51">
        <w:rPr>
          <w:sz w:val="28"/>
          <w:szCs w:val="28"/>
        </w:rPr>
        <w:t>в отдельности менее продуктивна</w:t>
      </w:r>
      <w:r w:rsidRPr="000251ED">
        <w:rPr>
          <w:sz w:val="28"/>
          <w:szCs w:val="28"/>
        </w:rPr>
        <w:t xml:space="preserve"> чем их объединение.</w:t>
      </w:r>
      <w:r>
        <w:rPr>
          <w:sz w:val="28"/>
          <w:szCs w:val="28"/>
        </w:rPr>
        <w:t xml:space="preserve"> В таких случаях перераспределение ресурсов ведет к более эффективному их использованию.</w:t>
      </w:r>
    </w:p>
    <w:p w14:paraId="75FD3E98" w14:textId="13FB4B35" w:rsidR="007024DC" w:rsidRDefault="00C2190F" w:rsidP="00D92696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Двумя главными видами синергии являются операционная синергия и финансовая синергия. Операционная синергия проявляется в увеличении доходов и сокращении расходов.</w:t>
      </w:r>
      <w:r w:rsidR="00F82478" w:rsidRPr="00F82478">
        <w:rPr>
          <w:sz w:val="28"/>
          <w:szCs w:val="28"/>
        </w:rPr>
        <w:t xml:space="preserve"> </w:t>
      </w:r>
      <w:r w:rsidR="00F82478">
        <w:rPr>
          <w:sz w:val="28"/>
          <w:szCs w:val="28"/>
        </w:rPr>
        <w:t>Финансовая синергия – возможность снижения затрат на капитал  в результате соединения компаний.</w:t>
      </w:r>
      <w:r w:rsidR="00F82478">
        <w:rPr>
          <w:rStyle w:val="FootnoteReference"/>
          <w:sz w:val="28"/>
          <w:szCs w:val="28"/>
        </w:rPr>
        <w:footnoteReference w:id="4"/>
      </w:r>
      <w:r w:rsidR="00D92696">
        <w:rPr>
          <w:sz w:val="28"/>
          <w:szCs w:val="28"/>
        </w:rPr>
        <w:t xml:space="preserve"> </w:t>
      </w:r>
      <w:r>
        <w:rPr>
          <w:sz w:val="28"/>
          <w:szCs w:val="28"/>
        </w:rPr>
        <w:t>Так, увеличение доходов может быть достигнуто за счет</w:t>
      </w:r>
      <w:r w:rsidR="00F5483C">
        <w:rPr>
          <w:sz w:val="28"/>
          <w:szCs w:val="28"/>
        </w:rPr>
        <w:t xml:space="preserve"> использования репутации компании, бренда. </w:t>
      </w:r>
      <w:r w:rsidR="00F5483C" w:rsidRPr="00FE0540">
        <w:rPr>
          <w:sz w:val="28"/>
          <w:szCs w:val="28"/>
        </w:rPr>
        <w:t xml:space="preserve">Многие компании </w:t>
      </w:r>
      <w:r w:rsidR="00F5483C" w:rsidRPr="00FE0540">
        <w:rPr>
          <w:sz w:val="28"/>
          <w:szCs w:val="28"/>
        </w:rPr>
        <w:lastRenderedPageBreak/>
        <w:t>приобретаются с целью получения возможности пользования их лицензиями, патентами, брендом,</w:t>
      </w:r>
      <w:r w:rsidR="00BE5049">
        <w:rPr>
          <w:sz w:val="28"/>
          <w:szCs w:val="28"/>
        </w:rPr>
        <w:t xml:space="preserve"> с целью</w:t>
      </w:r>
      <w:r w:rsidR="00F5483C" w:rsidRPr="00FE0540">
        <w:rPr>
          <w:sz w:val="28"/>
          <w:szCs w:val="28"/>
        </w:rPr>
        <w:t xml:space="preserve"> доступа к клиентской базе и так далее.</w:t>
      </w:r>
      <w:r w:rsidR="00F82478">
        <w:rPr>
          <w:sz w:val="28"/>
          <w:szCs w:val="28"/>
        </w:rPr>
        <w:t xml:space="preserve"> </w:t>
      </w:r>
      <w:r w:rsidR="007024DC">
        <w:rPr>
          <w:sz w:val="28"/>
          <w:szCs w:val="28"/>
        </w:rPr>
        <w:t>Снижение затрат может стать результатом экономии на масштабе, специализации труда и более эффективного использования основных средств.</w:t>
      </w:r>
    </w:p>
    <w:p w14:paraId="309D39ED" w14:textId="141C8A39" w:rsidR="00F82478" w:rsidRDefault="00F82478" w:rsidP="00F824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Другим важным мотивом слияний и поглощений является диверсификация деятельности компании. Слияние компаний может быть вызвано стремлением проникнуть в новые отрасли и расширить таким образом компанию.</w:t>
      </w:r>
      <w:r w:rsidR="005D546D">
        <w:rPr>
          <w:sz w:val="28"/>
          <w:szCs w:val="28"/>
        </w:rPr>
        <w:t xml:space="preserve"> Это может быть стремление проникнуть в более прибыльные отрасли</w:t>
      </w:r>
      <w:r w:rsidR="00BE5049">
        <w:rPr>
          <w:sz w:val="28"/>
          <w:szCs w:val="28"/>
        </w:rPr>
        <w:t xml:space="preserve"> или</w:t>
      </w:r>
      <w:r w:rsidR="001F2AAA">
        <w:rPr>
          <w:sz w:val="28"/>
          <w:szCs w:val="28"/>
        </w:rPr>
        <w:t xml:space="preserve"> в более молодые и перспективные отрасли. За счет диверсификации возможно уменьшить риски, связанные с цикличностью развития некоторых отраслей</w:t>
      </w:r>
      <w:r w:rsidR="005D01A0">
        <w:rPr>
          <w:sz w:val="28"/>
          <w:szCs w:val="28"/>
        </w:rPr>
        <w:t>.</w:t>
      </w:r>
    </w:p>
    <w:p w14:paraId="4790A81F" w14:textId="3346C334" w:rsidR="00731138" w:rsidRDefault="00670CF0" w:rsidP="006F3F4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Итак</w:t>
      </w:r>
      <w:r w:rsidR="009A4BB2" w:rsidRPr="00D55F41">
        <w:rPr>
          <w:rFonts w:eastAsiaTheme="minorEastAsia"/>
          <w:sz w:val="28"/>
          <w:szCs w:val="28"/>
          <w:lang w:eastAsia="en-US"/>
        </w:rPr>
        <w:t>,</w:t>
      </w:r>
      <w:r w:rsidR="000C603E" w:rsidRPr="00D55F41">
        <w:rPr>
          <w:rFonts w:eastAsiaTheme="minorEastAsia"/>
          <w:sz w:val="28"/>
          <w:szCs w:val="28"/>
          <w:lang w:eastAsia="en-US"/>
        </w:rPr>
        <w:t xml:space="preserve"> </w:t>
      </w:r>
      <w:r w:rsidR="000F48BA">
        <w:rPr>
          <w:rFonts w:eastAsiaTheme="minorEastAsia"/>
          <w:sz w:val="28"/>
          <w:szCs w:val="28"/>
          <w:lang w:eastAsia="en-US"/>
        </w:rPr>
        <w:t>стоит</w:t>
      </w:r>
      <w:r w:rsidR="000C603E" w:rsidRPr="00D55F41">
        <w:rPr>
          <w:rFonts w:eastAsiaTheme="minorEastAsia"/>
          <w:sz w:val="28"/>
          <w:szCs w:val="28"/>
          <w:lang w:eastAsia="en-US"/>
        </w:rPr>
        <w:t xml:space="preserve"> отметить,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 что </w:t>
      </w:r>
      <w:r w:rsidR="000C603E" w:rsidRPr="00D55F41">
        <w:rPr>
          <w:rFonts w:eastAsiaTheme="minorEastAsia"/>
          <w:sz w:val="28"/>
          <w:szCs w:val="28"/>
          <w:lang w:eastAsia="en-US"/>
        </w:rPr>
        <w:t>слияния и поглощения компаний являются</w:t>
      </w:r>
      <w:r w:rsidR="00FB22BD">
        <w:rPr>
          <w:rFonts w:eastAsiaTheme="minorEastAsia"/>
          <w:sz w:val="28"/>
          <w:szCs w:val="28"/>
          <w:lang w:eastAsia="en-US"/>
        </w:rPr>
        <w:t xml:space="preserve"> одним из наиболее важн</w:t>
      </w:r>
      <w:r w:rsidR="00D55F41">
        <w:rPr>
          <w:rFonts w:eastAsiaTheme="minorEastAsia"/>
          <w:sz w:val="28"/>
          <w:szCs w:val="28"/>
          <w:lang w:eastAsia="en-US"/>
        </w:rPr>
        <w:t>ых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 механизмов повышения конкурентоспособности</w:t>
      </w:r>
      <w:r w:rsidR="009A4BB2" w:rsidRPr="00D55F41">
        <w:rPr>
          <w:rFonts w:ascii="Times" w:eastAsiaTheme="minorEastAsia" w:hAnsi="Times" w:cs="Times"/>
          <w:sz w:val="28"/>
          <w:szCs w:val="28"/>
          <w:lang w:eastAsia="en-US"/>
        </w:rPr>
        <w:t xml:space="preserve"> </w:t>
      </w:r>
      <w:r w:rsidR="00D55F41">
        <w:rPr>
          <w:rFonts w:eastAsiaTheme="minorEastAsia"/>
          <w:sz w:val="28"/>
          <w:szCs w:val="28"/>
          <w:lang w:eastAsia="en-US"/>
        </w:rPr>
        <w:t>компаний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 на рынке за счет </w:t>
      </w:r>
      <w:r w:rsidR="00FB22BD">
        <w:rPr>
          <w:rFonts w:eastAsiaTheme="minorEastAsia"/>
          <w:sz w:val="28"/>
          <w:szCs w:val="28"/>
          <w:lang w:eastAsia="en-US"/>
        </w:rPr>
        <w:t>множества</w:t>
      </w:r>
      <w:r w:rsidR="000C603E" w:rsidRPr="00D55F41">
        <w:rPr>
          <w:rFonts w:eastAsiaTheme="minorEastAsia"/>
          <w:sz w:val="28"/>
          <w:szCs w:val="28"/>
          <w:lang w:eastAsia="en-US"/>
        </w:rPr>
        <w:t xml:space="preserve"> факторов:</w:t>
      </w:r>
      <w:r w:rsidR="00FB22BD">
        <w:rPr>
          <w:rFonts w:eastAsiaTheme="minorEastAsia"/>
          <w:sz w:val="28"/>
          <w:szCs w:val="28"/>
          <w:lang w:eastAsia="en-US"/>
        </w:rPr>
        <w:t xml:space="preserve"> 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эффекта синергии, </w:t>
      </w:r>
      <w:r w:rsidR="000C603E" w:rsidRPr="00D55F41">
        <w:rPr>
          <w:rFonts w:eastAsiaTheme="minorEastAsia"/>
          <w:sz w:val="28"/>
          <w:szCs w:val="28"/>
          <w:lang w:eastAsia="en-US"/>
        </w:rPr>
        <w:t>расширения бизнеса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, </w:t>
      </w:r>
      <w:r w:rsidR="000F79CA">
        <w:rPr>
          <w:rFonts w:eastAsiaTheme="minorEastAsia"/>
          <w:sz w:val="28"/>
          <w:szCs w:val="28"/>
          <w:lang w:eastAsia="en-US"/>
        </w:rPr>
        <w:t>накапливания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 дополнительных финансовых ресурсов </w:t>
      </w:r>
      <w:r w:rsidR="000C603E" w:rsidRPr="00D55F41">
        <w:rPr>
          <w:rFonts w:eastAsiaTheme="minorEastAsia"/>
          <w:sz w:val="28"/>
          <w:szCs w:val="28"/>
          <w:lang w:eastAsia="en-US"/>
        </w:rPr>
        <w:t>и сокращения ф</w:t>
      </w:r>
      <w:r w:rsidR="00FB22BD">
        <w:rPr>
          <w:rFonts w:eastAsiaTheme="minorEastAsia"/>
          <w:sz w:val="28"/>
          <w:szCs w:val="28"/>
          <w:lang w:eastAsia="en-US"/>
        </w:rPr>
        <w:t xml:space="preserve">инансовых рисков. Слияния и поглощения </w:t>
      </w:r>
      <w:r w:rsidR="00585323">
        <w:rPr>
          <w:rFonts w:eastAsiaTheme="minorEastAsia"/>
          <w:sz w:val="28"/>
          <w:szCs w:val="28"/>
          <w:lang w:eastAsia="en-US"/>
        </w:rPr>
        <w:t>являются также способом получения</w:t>
      </w:r>
      <w:r w:rsidR="00FB22BD">
        <w:rPr>
          <w:rFonts w:eastAsiaTheme="minorEastAsia"/>
          <w:sz w:val="28"/>
          <w:szCs w:val="28"/>
          <w:lang w:eastAsia="en-US"/>
        </w:rPr>
        <w:t xml:space="preserve"> досту</w:t>
      </w:r>
      <w:r w:rsidR="00585323">
        <w:rPr>
          <w:rFonts w:eastAsiaTheme="minorEastAsia"/>
          <w:sz w:val="28"/>
          <w:szCs w:val="28"/>
          <w:lang w:eastAsia="en-US"/>
        </w:rPr>
        <w:t>па</w:t>
      </w:r>
      <w:r w:rsidR="000C603E" w:rsidRPr="00D55F41">
        <w:rPr>
          <w:rFonts w:eastAsiaTheme="minorEastAsia"/>
          <w:sz w:val="28"/>
          <w:szCs w:val="28"/>
          <w:lang w:eastAsia="en-US"/>
        </w:rPr>
        <w:t xml:space="preserve"> </w:t>
      </w:r>
      <w:r w:rsidR="009A4BB2" w:rsidRPr="00D55F41">
        <w:rPr>
          <w:rFonts w:eastAsiaTheme="minorEastAsia"/>
          <w:sz w:val="28"/>
          <w:szCs w:val="28"/>
          <w:lang w:eastAsia="en-US"/>
        </w:rPr>
        <w:t>к новым технологиям,</w:t>
      </w:r>
      <w:r w:rsidR="000C603E" w:rsidRPr="00D55F41">
        <w:rPr>
          <w:rFonts w:eastAsiaTheme="minorEastAsia"/>
          <w:sz w:val="28"/>
          <w:szCs w:val="28"/>
          <w:lang w:eastAsia="en-US"/>
        </w:rPr>
        <w:t xml:space="preserve"> природным ресурсам</w:t>
      </w:r>
      <w:r w:rsidR="00585323">
        <w:rPr>
          <w:rFonts w:eastAsiaTheme="minorEastAsia"/>
          <w:sz w:val="28"/>
          <w:szCs w:val="28"/>
          <w:lang w:eastAsia="en-US"/>
        </w:rPr>
        <w:t xml:space="preserve">, </w:t>
      </w:r>
      <w:r w:rsidR="00D92696">
        <w:rPr>
          <w:rFonts w:eastAsiaTheme="minorEastAsia"/>
          <w:sz w:val="28"/>
          <w:szCs w:val="28"/>
          <w:lang w:eastAsia="en-US"/>
        </w:rPr>
        <w:t xml:space="preserve">они </w:t>
      </w:r>
      <w:r w:rsidR="00585323">
        <w:rPr>
          <w:rFonts w:eastAsiaTheme="minorEastAsia"/>
          <w:sz w:val="28"/>
          <w:szCs w:val="28"/>
          <w:lang w:eastAsia="en-US"/>
        </w:rPr>
        <w:t xml:space="preserve">представляют собой </w:t>
      </w:r>
      <w:r w:rsidR="000C603E" w:rsidRPr="00D55F41">
        <w:rPr>
          <w:rFonts w:eastAsiaTheme="minorEastAsia"/>
          <w:sz w:val="28"/>
          <w:szCs w:val="28"/>
          <w:lang w:eastAsia="en-US"/>
        </w:rPr>
        <w:t>более простой способ выхода на новые рынки.</w:t>
      </w:r>
      <w:r w:rsidR="000F79CA">
        <w:rPr>
          <w:rFonts w:eastAsiaTheme="minorEastAsia"/>
          <w:sz w:val="28"/>
          <w:szCs w:val="28"/>
          <w:lang w:eastAsia="en-US"/>
        </w:rPr>
        <w:t xml:space="preserve"> В целом п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роцесс слияний и поглощений компаний </w:t>
      </w:r>
      <w:r w:rsidR="00D92696">
        <w:rPr>
          <w:rFonts w:eastAsiaTheme="minorEastAsia"/>
          <w:sz w:val="28"/>
          <w:szCs w:val="28"/>
          <w:lang w:eastAsia="en-US"/>
        </w:rPr>
        <w:t>можно</w:t>
      </w:r>
      <w:r w:rsidR="00D2091C">
        <w:rPr>
          <w:rFonts w:eastAsiaTheme="minorEastAsia"/>
          <w:sz w:val="28"/>
          <w:szCs w:val="28"/>
          <w:lang w:eastAsia="en-US"/>
        </w:rPr>
        <w:t xml:space="preserve"> охарактеризовать как</w:t>
      </w:r>
      <w:r w:rsidR="000F48BA">
        <w:rPr>
          <w:rFonts w:eastAsiaTheme="minorEastAsia"/>
          <w:sz w:val="28"/>
          <w:szCs w:val="28"/>
          <w:lang w:eastAsia="en-US"/>
        </w:rPr>
        <w:t xml:space="preserve"> механизм</w:t>
      </w:r>
      <w:r w:rsidR="00585323">
        <w:rPr>
          <w:rFonts w:eastAsiaTheme="minorEastAsia"/>
          <w:sz w:val="28"/>
          <w:szCs w:val="28"/>
          <w:lang w:eastAsia="en-US"/>
        </w:rPr>
        <w:t xml:space="preserve">, </w:t>
      </w:r>
      <w:r w:rsidR="00642108">
        <w:rPr>
          <w:rFonts w:eastAsiaTheme="minorEastAsia"/>
          <w:sz w:val="28"/>
          <w:szCs w:val="28"/>
          <w:lang w:eastAsia="en-US"/>
        </w:rPr>
        <w:t>целью которого является обеспечение эффективного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 использован</w:t>
      </w:r>
      <w:r w:rsidR="00587938">
        <w:rPr>
          <w:rFonts w:eastAsiaTheme="minorEastAsia"/>
          <w:sz w:val="28"/>
          <w:szCs w:val="28"/>
          <w:lang w:eastAsia="en-US"/>
        </w:rPr>
        <w:t>ие ресурсов в масштабах</w:t>
      </w:r>
      <w:r w:rsidR="000F48BA">
        <w:rPr>
          <w:rFonts w:eastAsiaTheme="minorEastAsia"/>
          <w:sz w:val="28"/>
          <w:szCs w:val="28"/>
          <w:lang w:eastAsia="en-US"/>
        </w:rPr>
        <w:t xml:space="preserve"> </w:t>
      </w:r>
      <w:r w:rsidR="00642108">
        <w:rPr>
          <w:rFonts w:eastAsiaTheme="minorEastAsia"/>
          <w:sz w:val="28"/>
          <w:szCs w:val="28"/>
          <w:lang w:eastAsia="en-US"/>
        </w:rPr>
        <w:t>всей</w:t>
      </w:r>
      <w:r w:rsidR="009A4BB2" w:rsidRPr="00D55F41">
        <w:rPr>
          <w:rFonts w:eastAsiaTheme="minorEastAsia"/>
          <w:sz w:val="28"/>
          <w:szCs w:val="28"/>
          <w:lang w:eastAsia="en-US"/>
        </w:rPr>
        <w:t xml:space="preserve"> экономики.</w:t>
      </w:r>
    </w:p>
    <w:p w14:paraId="4007A8F8" w14:textId="77777777" w:rsidR="00731138" w:rsidRPr="00B060C0" w:rsidRDefault="00731138" w:rsidP="006F3F4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EastAsia"/>
          <w:sz w:val="28"/>
          <w:szCs w:val="28"/>
          <w:lang w:eastAsia="en-US"/>
        </w:rPr>
      </w:pPr>
    </w:p>
    <w:p w14:paraId="1187511D" w14:textId="147401D0" w:rsidR="00EF6BA3" w:rsidRPr="006F3F43" w:rsidRDefault="006F3F43" w:rsidP="006F3F4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1.2. </w:t>
      </w:r>
      <w:r w:rsidR="00234073" w:rsidRPr="006F3F43">
        <w:rPr>
          <w:b/>
          <w:sz w:val="32"/>
          <w:szCs w:val="32"/>
        </w:rPr>
        <w:t>Анализ рынка</w:t>
      </w:r>
      <w:r w:rsidR="002140DC" w:rsidRPr="006F3F43">
        <w:rPr>
          <w:b/>
          <w:sz w:val="32"/>
          <w:szCs w:val="32"/>
        </w:rPr>
        <w:t xml:space="preserve"> слияний и поглощений </w:t>
      </w:r>
      <w:r w:rsidR="00587938" w:rsidRPr="006F3F43">
        <w:rPr>
          <w:b/>
          <w:sz w:val="32"/>
          <w:szCs w:val="32"/>
        </w:rPr>
        <w:t>в ЕС</w:t>
      </w:r>
    </w:p>
    <w:p w14:paraId="55DCB743" w14:textId="77777777" w:rsidR="00731138" w:rsidRPr="00731138" w:rsidRDefault="00731138" w:rsidP="006F3F43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  <w:sz w:val="32"/>
          <w:szCs w:val="32"/>
        </w:rPr>
      </w:pPr>
    </w:p>
    <w:p w14:paraId="18BF2254" w14:textId="77777777" w:rsidR="00F02FA6" w:rsidRDefault="0039350E" w:rsidP="006F3F43">
      <w:pPr>
        <w:spacing w:line="360" w:lineRule="auto"/>
        <w:ind w:firstLine="7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 xml:space="preserve">В условиях глобализации слияния и поглощения являются важнейшим инструментом развития экономики. Традиционно в развитых странах наибольшая доля прямых иностранных инвестиций осуществляется в виде  транснациональных слияний и поглощений. </w:t>
      </w:r>
    </w:p>
    <w:p w14:paraId="5D5D137A" w14:textId="7F39F635" w:rsidR="0039350E" w:rsidRDefault="0039350E" w:rsidP="00F02FA6">
      <w:pPr>
        <w:spacing w:line="360" w:lineRule="auto"/>
        <w:ind w:firstLine="7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lastRenderedPageBreak/>
        <w:t>Слияния и поглощения проходят периоды взлетов и падений,</w:t>
      </w:r>
      <w:r w:rsidR="00D2091C">
        <w:rPr>
          <w:sz w:val="28"/>
          <w:szCs w:val="28"/>
        </w:rPr>
        <w:t xml:space="preserve"> равно</w:t>
      </w:r>
      <w:r w:rsidRPr="00FE0540">
        <w:rPr>
          <w:sz w:val="28"/>
          <w:szCs w:val="28"/>
        </w:rPr>
        <w:t xml:space="preserve"> как и эко</w:t>
      </w:r>
      <w:r w:rsidR="009A4BB2">
        <w:rPr>
          <w:sz w:val="28"/>
          <w:szCs w:val="28"/>
        </w:rPr>
        <w:t>номическая деятельность в целом.</w:t>
      </w:r>
      <w:r w:rsidR="00F02FA6">
        <w:rPr>
          <w:sz w:val="28"/>
          <w:szCs w:val="28"/>
        </w:rPr>
        <w:t xml:space="preserve"> </w:t>
      </w:r>
      <w:r w:rsidRPr="00FE0540">
        <w:rPr>
          <w:sz w:val="28"/>
          <w:szCs w:val="28"/>
        </w:rPr>
        <w:t xml:space="preserve">Экономическая история </w:t>
      </w:r>
      <w:r w:rsidR="00C67B2F">
        <w:rPr>
          <w:sz w:val="28"/>
          <w:szCs w:val="28"/>
        </w:rPr>
        <w:t>насчитывает</w:t>
      </w:r>
      <w:r w:rsidRPr="00FE0540">
        <w:rPr>
          <w:sz w:val="28"/>
          <w:szCs w:val="28"/>
        </w:rPr>
        <w:t xml:space="preserve"> шес</w:t>
      </w:r>
      <w:r w:rsidR="00F02FA6">
        <w:rPr>
          <w:sz w:val="28"/>
          <w:szCs w:val="28"/>
        </w:rPr>
        <w:t>т</w:t>
      </w:r>
      <w:r w:rsidRPr="00FE0540">
        <w:rPr>
          <w:sz w:val="28"/>
          <w:szCs w:val="28"/>
        </w:rPr>
        <w:t>ь циклов слияний и поглощений, последний из которых завершился в 2008 г.</w:t>
      </w:r>
      <w:r w:rsidR="00F02FA6">
        <w:rPr>
          <w:sz w:val="28"/>
          <w:szCs w:val="28"/>
        </w:rPr>
        <w:t xml:space="preserve"> </w:t>
      </w:r>
      <w:r w:rsidR="00D2091C">
        <w:rPr>
          <w:sz w:val="28"/>
          <w:szCs w:val="28"/>
        </w:rPr>
        <w:t>Общее число сделок слияний и поглощений</w:t>
      </w:r>
      <w:r w:rsidRPr="00FE0540">
        <w:rPr>
          <w:sz w:val="28"/>
          <w:szCs w:val="28"/>
        </w:rPr>
        <w:t xml:space="preserve"> в мире быстро росло в 1990</w:t>
      </w:r>
      <w:r w:rsidR="00D2091C">
        <w:rPr>
          <w:sz w:val="28"/>
          <w:szCs w:val="28"/>
        </w:rPr>
        <w:t>-</w:t>
      </w:r>
      <w:r w:rsidRPr="00FE0540">
        <w:rPr>
          <w:sz w:val="28"/>
          <w:szCs w:val="28"/>
        </w:rPr>
        <w:t>ы</w:t>
      </w:r>
      <w:r w:rsidR="00D2091C">
        <w:rPr>
          <w:sz w:val="28"/>
          <w:szCs w:val="28"/>
        </w:rPr>
        <w:t>е гг., достигнув пика в 2000 г. в условиях</w:t>
      </w:r>
      <w:r w:rsidRPr="00FE0540">
        <w:rPr>
          <w:sz w:val="28"/>
          <w:szCs w:val="28"/>
        </w:rPr>
        <w:t xml:space="preserve"> растущего рынка ценных бумаг и финансовой либерал</w:t>
      </w:r>
      <w:r w:rsidR="00BE5049">
        <w:rPr>
          <w:sz w:val="28"/>
          <w:szCs w:val="28"/>
        </w:rPr>
        <w:t>изации во всем мире. В 2000 г. з</w:t>
      </w:r>
      <w:r w:rsidRPr="00FE0540">
        <w:rPr>
          <w:sz w:val="28"/>
          <w:szCs w:val="28"/>
        </w:rPr>
        <w:t>авершилась пятая в</w:t>
      </w:r>
      <w:r w:rsidR="009A4BB2">
        <w:rPr>
          <w:sz w:val="28"/>
          <w:szCs w:val="28"/>
        </w:rPr>
        <w:t>олна слияний и поглощений</w:t>
      </w:r>
      <w:r w:rsidR="00E04A0E">
        <w:rPr>
          <w:sz w:val="28"/>
          <w:szCs w:val="28"/>
        </w:rPr>
        <w:t>, за которой</w:t>
      </w:r>
      <w:r w:rsidRPr="00FE0540">
        <w:rPr>
          <w:sz w:val="28"/>
          <w:szCs w:val="28"/>
        </w:rPr>
        <w:t xml:space="preserve"> последовал спад числа и стоимо</w:t>
      </w:r>
      <w:r w:rsidR="009A4BB2">
        <w:rPr>
          <w:sz w:val="28"/>
          <w:szCs w:val="28"/>
        </w:rPr>
        <w:t>сти сделок. С 2003 по 2008 гг. п</w:t>
      </w:r>
      <w:r w:rsidRPr="00FE0540">
        <w:rPr>
          <w:sz w:val="28"/>
          <w:szCs w:val="28"/>
        </w:rPr>
        <w:t>родолжалась ше</w:t>
      </w:r>
      <w:r w:rsidR="00D2091C">
        <w:rPr>
          <w:sz w:val="28"/>
          <w:szCs w:val="28"/>
        </w:rPr>
        <w:t>стая волна, которая</w:t>
      </w:r>
      <w:r w:rsidRPr="00FE0540">
        <w:rPr>
          <w:sz w:val="28"/>
          <w:szCs w:val="28"/>
        </w:rPr>
        <w:t xml:space="preserve"> характеризовалась растущей ролью глобализации: сливающиеся компании стремились создать мультинациональные корпорации.</w:t>
      </w:r>
      <w:r w:rsidR="002906EF" w:rsidRPr="002906EF">
        <w:rPr>
          <w:rStyle w:val="FootnoteReference"/>
          <w:sz w:val="28"/>
          <w:szCs w:val="28"/>
        </w:rPr>
        <w:t xml:space="preserve"> </w:t>
      </w:r>
      <w:r w:rsidR="002906EF" w:rsidRPr="00FE0540">
        <w:rPr>
          <w:rStyle w:val="FootnoteReference"/>
          <w:sz w:val="28"/>
          <w:szCs w:val="28"/>
        </w:rPr>
        <w:footnoteReference w:id="5"/>
      </w:r>
    </w:p>
    <w:p w14:paraId="5638003A" w14:textId="5CB0339D" w:rsidR="00890564" w:rsidRDefault="00890564" w:rsidP="008905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906EF">
        <w:rPr>
          <w:sz w:val="28"/>
          <w:szCs w:val="28"/>
        </w:rPr>
        <w:t>иберализация торговли и интеграция</w:t>
      </w:r>
      <w:r w:rsidRPr="00FE0540">
        <w:rPr>
          <w:sz w:val="28"/>
          <w:szCs w:val="28"/>
        </w:rPr>
        <w:t xml:space="preserve"> рынков</w:t>
      </w:r>
      <w:r>
        <w:rPr>
          <w:sz w:val="28"/>
          <w:szCs w:val="28"/>
        </w:rPr>
        <w:t xml:space="preserve"> стран-членов ЕС </w:t>
      </w:r>
      <w:r w:rsidR="007B45EA">
        <w:rPr>
          <w:sz w:val="28"/>
          <w:szCs w:val="28"/>
        </w:rPr>
        <w:t xml:space="preserve">– это </w:t>
      </w:r>
      <w:r w:rsidR="00BE5049">
        <w:rPr>
          <w:sz w:val="28"/>
          <w:szCs w:val="28"/>
        </w:rPr>
        <w:t>важнейший</w:t>
      </w:r>
      <w:r w:rsidR="007B45EA">
        <w:rPr>
          <w:sz w:val="28"/>
          <w:szCs w:val="28"/>
        </w:rPr>
        <w:t xml:space="preserve"> фактор, </w:t>
      </w:r>
      <w:r>
        <w:rPr>
          <w:sz w:val="28"/>
          <w:szCs w:val="28"/>
        </w:rPr>
        <w:t>способ</w:t>
      </w:r>
      <w:r w:rsidR="007B45EA">
        <w:rPr>
          <w:sz w:val="28"/>
          <w:szCs w:val="28"/>
        </w:rPr>
        <w:t>ствующий</w:t>
      </w:r>
      <w:r>
        <w:rPr>
          <w:sz w:val="28"/>
          <w:szCs w:val="28"/>
        </w:rPr>
        <w:t xml:space="preserve"> росту числа слияний и поглощений</w:t>
      </w:r>
      <w:r w:rsidR="007B45EA">
        <w:rPr>
          <w:sz w:val="28"/>
          <w:szCs w:val="28"/>
        </w:rPr>
        <w:t xml:space="preserve"> на территории Европейского Союза</w:t>
      </w:r>
      <w:r w:rsidR="00A647AA">
        <w:rPr>
          <w:sz w:val="28"/>
          <w:szCs w:val="28"/>
        </w:rPr>
        <w:t>. Для того</w:t>
      </w:r>
      <w:r w:rsidRPr="00FE0540">
        <w:rPr>
          <w:sz w:val="28"/>
          <w:szCs w:val="28"/>
        </w:rPr>
        <w:t xml:space="preserve"> чтобы функционировать в рамках единого рынка ЕС</w:t>
      </w:r>
      <w:r>
        <w:rPr>
          <w:sz w:val="28"/>
          <w:szCs w:val="28"/>
        </w:rPr>
        <w:t>,</w:t>
      </w:r>
      <w:r w:rsidRPr="00FE0540">
        <w:rPr>
          <w:sz w:val="28"/>
          <w:szCs w:val="28"/>
        </w:rPr>
        <w:t xml:space="preserve"> европейские компании прибегли к слияниям и поглощениям как к доминирующему способу приспособления к новым условиям</w:t>
      </w:r>
      <w:r>
        <w:rPr>
          <w:sz w:val="28"/>
          <w:szCs w:val="28"/>
        </w:rPr>
        <w:t>.</w:t>
      </w:r>
    </w:p>
    <w:p w14:paraId="0B75DB94" w14:textId="7EC6E1C1" w:rsidR="00890564" w:rsidRDefault="00890564" w:rsidP="008905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единого рынка</w:t>
      </w:r>
      <w:r w:rsidRPr="00FE0540">
        <w:rPr>
          <w:sz w:val="28"/>
          <w:szCs w:val="28"/>
        </w:rPr>
        <w:t xml:space="preserve"> привел</w:t>
      </w:r>
      <w:r>
        <w:rPr>
          <w:sz w:val="28"/>
          <w:szCs w:val="28"/>
        </w:rPr>
        <w:t>о</w:t>
      </w:r>
      <w:r w:rsidRPr="00FE0540">
        <w:rPr>
          <w:sz w:val="28"/>
          <w:szCs w:val="28"/>
        </w:rPr>
        <w:t xml:space="preserve"> к устранению барьеров, препятствовавших свободному перемещению капитала, труда, товаров</w:t>
      </w:r>
      <w:r w:rsidR="00A647AA">
        <w:rPr>
          <w:sz w:val="28"/>
          <w:szCs w:val="28"/>
        </w:rPr>
        <w:t xml:space="preserve"> и услуг в рамках Европейского</w:t>
      </w:r>
      <w:r>
        <w:rPr>
          <w:sz w:val="28"/>
          <w:szCs w:val="28"/>
        </w:rPr>
        <w:t xml:space="preserve"> С</w:t>
      </w:r>
      <w:r w:rsidRPr="00FE0540">
        <w:rPr>
          <w:sz w:val="28"/>
          <w:szCs w:val="28"/>
        </w:rPr>
        <w:t>ообщества. Это</w:t>
      </w:r>
      <w:r w:rsidR="00EA146B">
        <w:rPr>
          <w:sz w:val="28"/>
          <w:szCs w:val="28"/>
        </w:rPr>
        <w:t>,</w:t>
      </w:r>
      <w:r w:rsidRPr="00FE0540">
        <w:rPr>
          <w:sz w:val="28"/>
          <w:szCs w:val="28"/>
        </w:rPr>
        <w:t xml:space="preserve"> </w:t>
      </w:r>
      <w:r>
        <w:rPr>
          <w:sz w:val="28"/>
          <w:szCs w:val="28"/>
        </w:rPr>
        <w:t>в свою очередь</w:t>
      </w:r>
      <w:r w:rsidR="00EA146B">
        <w:rPr>
          <w:sz w:val="28"/>
          <w:szCs w:val="28"/>
        </w:rPr>
        <w:t>,</w:t>
      </w:r>
      <w:r>
        <w:rPr>
          <w:sz w:val="28"/>
          <w:szCs w:val="28"/>
        </w:rPr>
        <w:t xml:space="preserve"> спровоцировало снижение торговых издержек и, следовательно, рост</w:t>
      </w:r>
      <w:r w:rsidRPr="00FE0540">
        <w:rPr>
          <w:sz w:val="28"/>
          <w:szCs w:val="28"/>
        </w:rPr>
        <w:t xml:space="preserve"> торговли между странами-членами ЕС.</w:t>
      </w:r>
      <w:r>
        <w:rPr>
          <w:sz w:val="28"/>
          <w:szCs w:val="28"/>
        </w:rPr>
        <w:t xml:space="preserve"> Создание Экономического</w:t>
      </w:r>
      <w:r w:rsidRPr="00FE0540">
        <w:rPr>
          <w:sz w:val="28"/>
          <w:szCs w:val="28"/>
        </w:rPr>
        <w:t xml:space="preserve"> </w:t>
      </w:r>
      <w:r>
        <w:rPr>
          <w:sz w:val="28"/>
          <w:szCs w:val="28"/>
        </w:rPr>
        <w:t>и валютного</w:t>
      </w:r>
      <w:r w:rsidRPr="00FE0540">
        <w:rPr>
          <w:sz w:val="28"/>
          <w:szCs w:val="28"/>
        </w:rPr>
        <w:t xml:space="preserve"> союз</w:t>
      </w:r>
      <w:r>
        <w:rPr>
          <w:sz w:val="28"/>
          <w:szCs w:val="28"/>
        </w:rPr>
        <w:t>а</w:t>
      </w:r>
      <w:r w:rsidRPr="00FE0540">
        <w:rPr>
          <w:sz w:val="28"/>
          <w:szCs w:val="28"/>
        </w:rPr>
        <w:t xml:space="preserve"> облегчил</w:t>
      </w:r>
      <w:r>
        <w:rPr>
          <w:sz w:val="28"/>
          <w:szCs w:val="28"/>
        </w:rPr>
        <w:t>о</w:t>
      </w:r>
      <w:r w:rsidRPr="00FE0540">
        <w:rPr>
          <w:sz w:val="28"/>
          <w:szCs w:val="28"/>
        </w:rPr>
        <w:t xml:space="preserve"> движение акционерного капитала, усиливая финансовую интеграцию, снижая стоимость капитала, создавая общую торговую платформу. </w:t>
      </w:r>
      <w:r>
        <w:rPr>
          <w:sz w:val="28"/>
          <w:szCs w:val="28"/>
        </w:rPr>
        <w:t>Введение единой валюты</w:t>
      </w:r>
      <w:r w:rsidRPr="00FE054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привело к устранению</w:t>
      </w:r>
      <w:r w:rsidRPr="00FE0540">
        <w:rPr>
          <w:sz w:val="28"/>
          <w:szCs w:val="28"/>
        </w:rPr>
        <w:t xml:space="preserve"> </w:t>
      </w:r>
      <w:r>
        <w:rPr>
          <w:sz w:val="28"/>
          <w:szCs w:val="28"/>
        </w:rPr>
        <w:t>риска изменения валютного курса</w:t>
      </w:r>
      <w:r w:rsidRPr="00FE054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Все это вызвало рост  транснациональных инвестиций, </w:t>
      </w:r>
      <w:r w:rsidR="00EA146B">
        <w:rPr>
          <w:sz w:val="28"/>
          <w:szCs w:val="28"/>
        </w:rPr>
        <w:t>так как сделки стали безопаснее.</w:t>
      </w:r>
      <w:r w:rsidR="00451B60">
        <w:rPr>
          <w:sz w:val="28"/>
          <w:szCs w:val="28"/>
        </w:rPr>
        <w:t xml:space="preserve"> </w:t>
      </w:r>
    </w:p>
    <w:p w14:paraId="1FE26DF8" w14:textId="3071BE50" w:rsidR="00BB1FFD" w:rsidRPr="007F0282" w:rsidRDefault="00113A2E" w:rsidP="00035C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</w:t>
      </w:r>
      <w:r w:rsidR="00A46B70" w:rsidRPr="00282A5B">
        <w:rPr>
          <w:color w:val="FF0000"/>
          <w:sz w:val="28"/>
          <w:szCs w:val="28"/>
        </w:rPr>
        <w:t xml:space="preserve"> </w:t>
      </w:r>
      <w:r w:rsidR="00A46B70">
        <w:rPr>
          <w:sz w:val="28"/>
          <w:szCs w:val="28"/>
        </w:rPr>
        <w:t xml:space="preserve">говорилось </w:t>
      </w:r>
      <w:r w:rsidR="00963FCC">
        <w:rPr>
          <w:sz w:val="28"/>
          <w:szCs w:val="28"/>
        </w:rPr>
        <w:t xml:space="preserve">о мотивах слияний и поглощений, </w:t>
      </w:r>
      <w:r w:rsidR="0060355A">
        <w:rPr>
          <w:sz w:val="28"/>
          <w:szCs w:val="28"/>
        </w:rPr>
        <w:t>об эффек</w:t>
      </w:r>
      <w:r w:rsidR="00963FCC">
        <w:rPr>
          <w:sz w:val="28"/>
          <w:szCs w:val="28"/>
        </w:rPr>
        <w:t>тивности, достигаемой компаниями</w:t>
      </w:r>
      <w:r w:rsidR="0060355A">
        <w:rPr>
          <w:sz w:val="28"/>
          <w:szCs w:val="28"/>
        </w:rPr>
        <w:t xml:space="preserve"> за</w:t>
      </w:r>
      <w:r w:rsidR="00963FCC">
        <w:rPr>
          <w:sz w:val="28"/>
          <w:szCs w:val="28"/>
        </w:rPr>
        <w:t xml:space="preserve"> их</w:t>
      </w:r>
      <w:r w:rsidR="0060355A">
        <w:rPr>
          <w:sz w:val="28"/>
          <w:szCs w:val="28"/>
        </w:rPr>
        <w:t xml:space="preserve"> счет.</w:t>
      </w:r>
      <w:r w:rsidR="00035C4F">
        <w:rPr>
          <w:sz w:val="28"/>
          <w:szCs w:val="28"/>
        </w:rPr>
        <w:t xml:space="preserve"> </w:t>
      </w:r>
      <w:r w:rsidR="00963FCC">
        <w:rPr>
          <w:sz w:val="28"/>
          <w:szCs w:val="28"/>
        </w:rPr>
        <w:t>Развитие национальной экономики и рост компаний неоспоримо являются благом для государства</w:t>
      </w:r>
      <w:r w:rsidR="00B06F46">
        <w:rPr>
          <w:sz w:val="28"/>
          <w:szCs w:val="28"/>
        </w:rPr>
        <w:t>, та</w:t>
      </w:r>
      <w:r w:rsidR="00661C14">
        <w:rPr>
          <w:sz w:val="28"/>
          <w:szCs w:val="28"/>
        </w:rPr>
        <w:t>к</w:t>
      </w:r>
      <w:r w:rsidR="00B06F46">
        <w:rPr>
          <w:sz w:val="28"/>
          <w:szCs w:val="28"/>
        </w:rPr>
        <w:t xml:space="preserve"> как</w:t>
      </w:r>
      <w:r w:rsidR="0060355A">
        <w:rPr>
          <w:sz w:val="28"/>
          <w:szCs w:val="28"/>
        </w:rPr>
        <w:t xml:space="preserve"> растет </w:t>
      </w:r>
      <w:r w:rsidR="00661C14">
        <w:rPr>
          <w:sz w:val="28"/>
          <w:szCs w:val="28"/>
        </w:rPr>
        <w:t>эффективность</w:t>
      </w:r>
      <w:r w:rsidR="00B06F46">
        <w:rPr>
          <w:sz w:val="28"/>
          <w:szCs w:val="28"/>
        </w:rPr>
        <w:t xml:space="preserve"> производства. </w:t>
      </w:r>
      <w:r w:rsidR="00AD50A5">
        <w:rPr>
          <w:sz w:val="28"/>
          <w:szCs w:val="28"/>
        </w:rPr>
        <w:t>Но</w:t>
      </w:r>
      <w:r w:rsidR="00631B0C">
        <w:rPr>
          <w:sz w:val="28"/>
          <w:szCs w:val="28"/>
        </w:rPr>
        <w:t>, не</w:t>
      </w:r>
      <w:r w:rsidR="00D65BE3" w:rsidRPr="00FE0540">
        <w:rPr>
          <w:sz w:val="28"/>
          <w:szCs w:val="28"/>
        </w:rPr>
        <w:t>смотря на все пр</w:t>
      </w:r>
      <w:r w:rsidR="00AD50A5">
        <w:rPr>
          <w:sz w:val="28"/>
          <w:szCs w:val="28"/>
        </w:rPr>
        <w:t>еимущества слияний и поглощений</w:t>
      </w:r>
      <w:r w:rsidR="00631B0C">
        <w:rPr>
          <w:sz w:val="28"/>
          <w:szCs w:val="28"/>
        </w:rPr>
        <w:t>,</w:t>
      </w:r>
      <w:r w:rsidR="00D65BE3" w:rsidRPr="00FE0540">
        <w:rPr>
          <w:sz w:val="28"/>
          <w:szCs w:val="28"/>
        </w:rPr>
        <w:t xml:space="preserve"> подобная деятельность компаний строго </w:t>
      </w:r>
      <w:r w:rsidR="001A09D4">
        <w:rPr>
          <w:sz w:val="28"/>
          <w:szCs w:val="28"/>
        </w:rPr>
        <w:t xml:space="preserve">регулируется </w:t>
      </w:r>
      <w:r w:rsidR="001A09D4" w:rsidRPr="007F0282">
        <w:rPr>
          <w:sz w:val="28"/>
          <w:szCs w:val="28"/>
        </w:rPr>
        <w:t>законодательством.</w:t>
      </w:r>
    </w:p>
    <w:p w14:paraId="402E60C6" w14:textId="0F1C8464" w:rsidR="00D75A1A" w:rsidRPr="00035C4F" w:rsidRDefault="00071B5E" w:rsidP="000B03EC">
      <w:pPr>
        <w:spacing w:line="360" w:lineRule="auto"/>
        <w:ind w:firstLine="720"/>
        <w:jc w:val="both"/>
        <w:rPr>
          <w:sz w:val="28"/>
          <w:szCs w:val="28"/>
        </w:rPr>
      </w:pPr>
      <w:r w:rsidRPr="00035C4F">
        <w:rPr>
          <w:sz w:val="28"/>
          <w:szCs w:val="28"/>
        </w:rPr>
        <w:t xml:space="preserve">Рост конкуренции в рамках единого рынка </w:t>
      </w:r>
      <w:r w:rsidR="002B2AA0" w:rsidRPr="00035C4F">
        <w:rPr>
          <w:sz w:val="28"/>
          <w:szCs w:val="28"/>
        </w:rPr>
        <w:t xml:space="preserve">ЕС и глобализация способствуют укрупнению компаний. </w:t>
      </w:r>
      <w:r w:rsidR="00B06F46" w:rsidRPr="00035C4F">
        <w:rPr>
          <w:sz w:val="28"/>
          <w:szCs w:val="28"/>
        </w:rPr>
        <w:t>Тем не менее</w:t>
      </w:r>
      <w:r w:rsidR="002B2AA0" w:rsidRPr="00035C4F">
        <w:rPr>
          <w:sz w:val="28"/>
          <w:szCs w:val="28"/>
        </w:rPr>
        <w:t xml:space="preserve"> подобная ре</w:t>
      </w:r>
      <w:r w:rsidR="00B06F46" w:rsidRPr="00035C4F">
        <w:rPr>
          <w:sz w:val="28"/>
          <w:szCs w:val="28"/>
        </w:rPr>
        <w:t>структуризация</w:t>
      </w:r>
      <w:r w:rsidR="002B2AA0" w:rsidRPr="00035C4F">
        <w:rPr>
          <w:sz w:val="28"/>
          <w:szCs w:val="28"/>
        </w:rPr>
        <w:t xml:space="preserve"> бизнеса поощряется до тех пор, пока </w:t>
      </w:r>
      <w:r w:rsidR="00AD50A5" w:rsidRPr="00035C4F">
        <w:rPr>
          <w:sz w:val="28"/>
          <w:szCs w:val="28"/>
        </w:rPr>
        <w:t>она не препятствует конкуренции, а, напротив,</w:t>
      </w:r>
      <w:r w:rsidR="002B2AA0" w:rsidRPr="00035C4F">
        <w:rPr>
          <w:sz w:val="28"/>
          <w:szCs w:val="28"/>
        </w:rPr>
        <w:t xml:space="preserve">  </w:t>
      </w:r>
      <w:r w:rsidR="006D3B8D" w:rsidRPr="00035C4F">
        <w:rPr>
          <w:sz w:val="28"/>
          <w:szCs w:val="28"/>
        </w:rPr>
        <w:t>укрепляет</w:t>
      </w:r>
      <w:r w:rsidR="001A09D4" w:rsidRPr="00035C4F">
        <w:rPr>
          <w:sz w:val="28"/>
          <w:szCs w:val="28"/>
        </w:rPr>
        <w:t xml:space="preserve"> конкурент</w:t>
      </w:r>
      <w:r w:rsidR="002B2AA0" w:rsidRPr="00035C4F">
        <w:rPr>
          <w:sz w:val="28"/>
          <w:szCs w:val="28"/>
        </w:rPr>
        <w:t xml:space="preserve">оспособность европейского производства, способствует росту ВВП и повышает уровень жизни в ЕС. </w:t>
      </w:r>
      <w:r w:rsidR="001A09D4" w:rsidRPr="00035C4F">
        <w:rPr>
          <w:sz w:val="28"/>
          <w:szCs w:val="28"/>
        </w:rPr>
        <w:t xml:space="preserve">Укрупнение бизнеса может привести к возникновению олигополий и монополий – компаний доминирующих на рынке. Монополии способны устанавливать свои правила на рынке, фиксировать цены на уровне выше конкурентных, </w:t>
      </w:r>
      <w:r w:rsidR="00B06F46" w:rsidRPr="00035C4F">
        <w:rPr>
          <w:sz w:val="28"/>
          <w:szCs w:val="28"/>
        </w:rPr>
        <w:t>они ограничивают потребителей в выборе товаров и услуг</w:t>
      </w:r>
      <w:r w:rsidR="001A09D4" w:rsidRPr="00035C4F">
        <w:rPr>
          <w:sz w:val="28"/>
          <w:szCs w:val="28"/>
        </w:rPr>
        <w:t>, тормозя</w:t>
      </w:r>
      <w:r w:rsidR="00B06F46" w:rsidRPr="00035C4F">
        <w:rPr>
          <w:sz w:val="28"/>
          <w:szCs w:val="28"/>
        </w:rPr>
        <w:t>т</w:t>
      </w:r>
      <w:r w:rsidR="001A09D4" w:rsidRPr="00035C4F">
        <w:rPr>
          <w:sz w:val="28"/>
          <w:szCs w:val="28"/>
        </w:rPr>
        <w:t xml:space="preserve"> развитие НИОКР. </w:t>
      </w:r>
      <w:r w:rsidR="00AD50A5" w:rsidRPr="00035C4F">
        <w:rPr>
          <w:sz w:val="28"/>
          <w:szCs w:val="28"/>
        </w:rPr>
        <w:t>Монополии таким образом</w:t>
      </w:r>
      <w:r w:rsidR="001A09D4" w:rsidRPr="00035C4F">
        <w:rPr>
          <w:sz w:val="28"/>
          <w:szCs w:val="28"/>
        </w:rPr>
        <w:t xml:space="preserve"> не позволяют развиваться отрасли и нормально функциониро</w:t>
      </w:r>
      <w:r w:rsidR="00B06F46" w:rsidRPr="00035C4F">
        <w:rPr>
          <w:sz w:val="28"/>
          <w:szCs w:val="28"/>
        </w:rPr>
        <w:t>вать мелким и средним компаниям, приводят к стагнации экономики.</w:t>
      </w:r>
      <w:r w:rsidR="000B03EC" w:rsidRPr="00035C4F">
        <w:rPr>
          <w:sz w:val="28"/>
          <w:szCs w:val="28"/>
        </w:rPr>
        <w:t xml:space="preserve"> </w:t>
      </w:r>
      <w:r w:rsidR="009B7D05" w:rsidRPr="00035C4F">
        <w:rPr>
          <w:sz w:val="28"/>
          <w:szCs w:val="28"/>
        </w:rPr>
        <w:t>Целью</w:t>
      </w:r>
      <w:r w:rsidR="004D194F" w:rsidRPr="00035C4F">
        <w:rPr>
          <w:sz w:val="28"/>
          <w:szCs w:val="28"/>
        </w:rPr>
        <w:t xml:space="preserve"> регулирования сделок слияний и поглощений</w:t>
      </w:r>
      <w:r w:rsidR="00376F80" w:rsidRPr="00035C4F">
        <w:rPr>
          <w:sz w:val="28"/>
          <w:szCs w:val="28"/>
        </w:rPr>
        <w:t xml:space="preserve"> является предотвращение нарушения конкуренции</w:t>
      </w:r>
      <w:r w:rsidR="00A45AD6" w:rsidRPr="00035C4F">
        <w:rPr>
          <w:sz w:val="28"/>
          <w:szCs w:val="28"/>
        </w:rPr>
        <w:t xml:space="preserve"> и злоупотреблений монопольной властью</w:t>
      </w:r>
      <w:r w:rsidR="00AD50A5" w:rsidRPr="00035C4F">
        <w:rPr>
          <w:sz w:val="28"/>
          <w:szCs w:val="28"/>
        </w:rPr>
        <w:t xml:space="preserve"> со</w:t>
      </w:r>
      <w:r w:rsidR="00A45AD6" w:rsidRPr="00035C4F">
        <w:rPr>
          <w:sz w:val="28"/>
          <w:szCs w:val="28"/>
        </w:rPr>
        <w:t xml:space="preserve"> стороны крупных компаний</w:t>
      </w:r>
      <w:r w:rsidR="000B03EC" w:rsidRPr="00035C4F">
        <w:rPr>
          <w:sz w:val="28"/>
          <w:szCs w:val="28"/>
        </w:rPr>
        <w:t xml:space="preserve"> и</w:t>
      </w:r>
      <w:r w:rsidR="00A45AD6" w:rsidRPr="00035C4F">
        <w:rPr>
          <w:sz w:val="28"/>
          <w:szCs w:val="28"/>
        </w:rPr>
        <w:t xml:space="preserve"> государственных органов</w:t>
      </w:r>
      <w:r w:rsidR="00376F80" w:rsidRPr="00035C4F">
        <w:rPr>
          <w:sz w:val="28"/>
          <w:szCs w:val="28"/>
        </w:rPr>
        <w:t xml:space="preserve">. </w:t>
      </w:r>
    </w:p>
    <w:p w14:paraId="6918BB72" w14:textId="70AD8E03" w:rsidR="008121FA" w:rsidRPr="00035C4F" w:rsidRDefault="00035C4F" w:rsidP="00B22E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становилось необходимо регулировать слияния и поглощения</w:t>
      </w:r>
      <w:r w:rsidR="008121FA">
        <w:rPr>
          <w:sz w:val="28"/>
          <w:szCs w:val="28"/>
        </w:rPr>
        <w:t>, причем</w:t>
      </w:r>
      <w:r>
        <w:rPr>
          <w:sz w:val="28"/>
          <w:szCs w:val="28"/>
        </w:rPr>
        <w:t xml:space="preserve"> не только на уровне отдельных </w:t>
      </w:r>
      <w:r w:rsidR="00A647AA">
        <w:rPr>
          <w:sz w:val="28"/>
          <w:szCs w:val="28"/>
        </w:rPr>
        <w:t>стран ЕС, но и на уровне всего Е</w:t>
      </w:r>
      <w:r>
        <w:rPr>
          <w:sz w:val="28"/>
          <w:szCs w:val="28"/>
        </w:rPr>
        <w:t xml:space="preserve">вропейского сообщества.  </w:t>
      </w:r>
      <w:r w:rsidRPr="00337FF2">
        <w:rPr>
          <w:sz w:val="28"/>
          <w:szCs w:val="28"/>
        </w:rPr>
        <w:t xml:space="preserve">Одна из </w:t>
      </w:r>
      <w:r>
        <w:rPr>
          <w:sz w:val="28"/>
          <w:szCs w:val="28"/>
        </w:rPr>
        <w:t>основных задач ЕС заключается в развитии правовой</w:t>
      </w:r>
      <w:r w:rsidRPr="00337FF2">
        <w:rPr>
          <w:sz w:val="28"/>
          <w:szCs w:val="28"/>
        </w:rPr>
        <w:t xml:space="preserve"> среды для функционирования конкурент</w:t>
      </w:r>
      <w:r>
        <w:rPr>
          <w:sz w:val="28"/>
          <w:szCs w:val="28"/>
        </w:rPr>
        <w:t>оспособных национальных европей</w:t>
      </w:r>
      <w:r w:rsidRPr="00337FF2">
        <w:rPr>
          <w:sz w:val="28"/>
          <w:szCs w:val="28"/>
        </w:rPr>
        <w:t xml:space="preserve">ских акционерных компаний, которые создаются путем </w:t>
      </w:r>
      <w:r w:rsidRPr="0068168B">
        <w:rPr>
          <w:sz w:val="28"/>
          <w:szCs w:val="28"/>
        </w:rPr>
        <w:t xml:space="preserve">трансграничных слияний и поглощений. Для успешного функционирования единого европейского рынка товаров и услуг необходимо, чтобы были созданы равные условия конкуренции, упрощены и унифицированы стандарты на едином экономическом пространстве. Таким </w:t>
      </w:r>
      <w:r w:rsidRPr="0068168B">
        <w:rPr>
          <w:sz w:val="28"/>
          <w:szCs w:val="28"/>
        </w:rPr>
        <w:lastRenderedPageBreak/>
        <w:t>образом можно добиться предоставления равных возможностей всем экономическим субъектам, рационального размещения ресурсов, сокращения издержек производства, снижения цен, повышения конкурентоспособности европейских товаров на мировых рынках.</w:t>
      </w:r>
      <w:r w:rsidRPr="0068168B">
        <w:rPr>
          <w:rStyle w:val="FootnoteReference"/>
          <w:sz w:val="28"/>
          <w:szCs w:val="28"/>
        </w:rPr>
        <w:footnoteReference w:id="6"/>
      </w:r>
      <w:r w:rsidRPr="00681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слияния и поглощения с одной стороны и конкуренция с другой стороны имеют схожие цели, однако необходимо найти правильный баланс. </w:t>
      </w:r>
      <w:r w:rsidRPr="0068168B">
        <w:rPr>
          <w:sz w:val="28"/>
          <w:szCs w:val="28"/>
        </w:rPr>
        <w:t>Цель подобной политики</w:t>
      </w:r>
      <w:r>
        <w:rPr>
          <w:sz w:val="28"/>
          <w:szCs w:val="28"/>
        </w:rPr>
        <w:t xml:space="preserve"> заключается в успешном противостоянии</w:t>
      </w:r>
      <w:r w:rsidRPr="00337FF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транснациональным корпорациям</w:t>
      </w:r>
      <w:r w:rsidRPr="00337FF2">
        <w:rPr>
          <w:sz w:val="28"/>
          <w:szCs w:val="28"/>
        </w:rPr>
        <w:t xml:space="preserve"> США и Японии на мировых рынках</w:t>
      </w:r>
      <w:r>
        <w:rPr>
          <w:sz w:val="28"/>
          <w:szCs w:val="28"/>
        </w:rPr>
        <w:t xml:space="preserve">. </w:t>
      </w:r>
    </w:p>
    <w:p w14:paraId="31EA33C7" w14:textId="7A127322" w:rsidR="0055180F" w:rsidRDefault="00831F37" w:rsidP="000F7BF1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Регулирование сделок слияний и погло</w:t>
      </w:r>
      <w:r w:rsidR="000B03EC">
        <w:rPr>
          <w:sz w:val="28"/>
          <w:szCs w:val="28"/>
        </w:rPr>
        <w:t>щений в ЕС</w:t>
      </w:r>
      <w:r w:rsidR="00661C14">
        <w:rPr>
          <w:sz w:val="28"/>
          <w:szCs w:val="28"/>
        </w:rPr>
        <w:t xml:space="preserve"> </w:t>
      </w:r>
      <w:r w:rsidR="000B03EC">
        <w:rPr>
          <w:sz w:val="28"/>
          <w:szCs w:val="28"/>
        </w:rPr>
        <w:t>является частью общей</w:t>
      </w:r>
      <w:r>
        <w:rPr>
          <w:sz w:val="28"/>
          <w:szCs w:val="28"/>
        </w:rPr>
        <w:t xml:space="preserve"> конкурентной политики</w:t>
      </w:r>
      <w:r w:rsidR="000B03EC">
        <w:rPr>
          <w:sz w:val="28"/>
          <w:szCs w:val="28"/>
        </w:rPr>
        <w:t>, проводимой на наднациональном уровне</w:t>
      </w:r>
      <w:r>
        <w:rPr>
          <w:sz w:val="28"/>
          <w:szCs w:val="28"/>
        </w:rPr>
        <w:t xml:space="preserve">. </w:t>
      </w:r>
      <w:r w:rsidR="00D75A1A" w:rsidRPr="00FE0540">
        <w:rPr>
          <w:sz w:val="28"/>
          <w:szCs w:val="28"/>
        </w:rPr>
        <w:t>Антимонопольное законодательство в Европе</w:t>
      </w:r>
      <w:r w:rsidR="0032530C">
        <w:rPr>
          <w:sz w:val="28"/>
          <w:szCs w:val="28"/>
        </w:rPr>
        <w:t xml:space="preserve"> начало активно развиваться</w:t>
      </w:r>
      <w:r w:rsidR="000F7BF1">
        <w:rPr>
          <w:sz w:val="28"/>
          <w:szCs w:val="28"/>
        </w:rPr>
        <w:t xml:space="preserve"> </w:t>
      </w:r>
      <w:r w:rsidR="000F7BF1" w:rsidRPr="00036068">
        <w:rPr>
          <w:sz w:val="28"/>
          <w:szCs w:val="28"/>
        </w:rPr>
        <w:t>после Второй Мировой Войны.</w:t>
      </w:r>
      <w:r w:rsidR="003E4593" w:rsidRPr="00036068">
        <w:rPr>
          <w:sz w:val="28"/>
          <w:szCs w:val="28"/>
        </w:rPr>
        <w:t xml:space="preserve"> </w:t>
      </w:r>
      <w:r w:rsidR="00D75A1A" w:rsidRPr="00036068">
        <w:rPr>
          <w:sz w:val="28"/>
          <w:szCs w:val="28"/>
        </w:rPr>
        <w:t>В 1957</w:t>
      </w:r>
      <w:r w:rsidR="00570DEC" w:rsidRPr="00036068">
        <w:rPr>
          <w:sz w:val="28"/>
          <w:szCs w:val="28"/>
        </w:rPr>
        <w:t xml:space="preserve"> </w:t>
      </w:r>
      <w:r w:rsidR="00D75A1A" w:rsidRPr="00036068">
        <w:rPr>
          <w:sz w:val="28"/>
          <w:szCs w:val="28"/>
        </w:rPr>
        <w:t>г.</w:t>
      </w:r>
      <w:r w:rsidR="00AD50A5">
        <w:rPr>
          <w:sz w:val="28"/>
          <w:szCs w:val="28"/>
        </w:rPr>
        <w:t xml:space="preserve"> б</w:t>
      </w:r>
      <w:r w:rsidR="00570DEC" w:rsidRPr="00036068">
        <w:rPr>
          <w:sz w:val="28"/>
          <w:szCs w:val="28"/>
        </w:rPr>
        <w:t xml:space="preserve">ыл подписан Римский договор о </w:t>
      </w:r>
      <w:r w:rsidR="00570DEC" w:rsidRPr="001E24E0">
        <w:rPr>
          <w:sz w:val="28"/>
          <w:szCs w:val="28"/>
        </w:rPr>
        <w:t xml:space="preserve">ликвидации всех преград на пути свободного передвижения людей, товаров, услуг и капитала. Римский договор стал документом, </w:t>
      </w:r>
      <w:r w:rsidR="00AD50A5" w:rsidRPr="001E24E0">
        <w:rPr>
          <w:sz w:val="28"/>
          <w:szCs w:val="28"/>
        </w:rPr>
        <w:t>заложившим основу Европейского Экономического С</w:t>
      </w:r>
      <w:r w:rsidR="00570DEC" w:rsidRPr="001E24E0">
        <w:rPr>
          <w:sz w:val="28"/>
          <w:szCs w:val="28"/>
        </w:rPr>
        <w:t>ообщества,</w:t>
      </w:r>
      <w:r w:rsidR="00570DEC">
        <w:rPr>
          <w:sz w:val="28"/>
          <w:szCs w:val="28"/>
        </w:rPr>
        <w:t xml:space="preserve"> целью которого являлась дальнейшая экономическая интеграция и создание общего рынка. C образованием общего рынка начался новый</w:t>
      </w:r>
      <w:r w:rsidR="00570DEC" w:rsidRPr="00FE0540">
        <w:rPr>
          <w:sz w:val="28"/>
          <w:szCs w:val="28"/>
        </w:rPr>
        <w:t xml:space="preserve"> </w:t>
      </w:r>
      <w:r w:rsidR="00570DEC">
        <w:rPr>
          <w:sz w:val="28"/>
          <w:szCs w:val="28"/>
        </w:rPr>
        <w:t>этап в развитии</w:t>
      </w:r>
      <w:r w:rsidR="001C56BC">
        <w:rPr>
          <w:sz w:val="28"/>
          <w:szCs w:val="28"/>
        </w:rPr>
        <w:t xml:space="preserve"> права объединившихся в экономико-политический союз государств. </w:t>
      </w:r>
      <w:r w:rsidR="00B45F61" w:rsidRPr="00FE0540">
        <w:rPr>
          <w:sz w:val="28"/>
          <w:szCs w:val="28"/>
        </w:rPr>
        <w:t>Правовое регулирование слияний и поглощений необходимо, так как служит инструментом для формирования основы единого рынка европейского сообщества и е</w:t>
      </w:r>
      <w:r w:rsidR="00B45F61">
        <w:rPr>
          <w:sz w:val="28"/>
          <w:szCs w:val="28"/>
        </w:rPr>
        <w:t xml:space="preserve">вропейской интеграции в целом. </w:t>
      </w:r>
      <w:r w:rsidR="002D7A90">
        <w:rPr>
          <w:sz w:val="28"/>
          <w:szCs w:val="28"/>
        </w:rPr>
        <w:t>Создание внутреннего рынка и Э</w:t>
      </w:r>
      <w:r w:rsidR="00B45F61" w:rsidRPr="00FE0540">
        <w:rPr>
          <w:sz w:val="28"/>
          <w:szCs w:val="28"/>
        </w:rPr>
        <w:t xml:space="preserve">кономического и валютного союза, расширение ЕС и </w:t>
      </w:r>
      <w:r w:rsidR="00036068">
        <w:rPr>
          <w:sz w:val="28"/>
          <w:szCs w:val="28"/>
        </w:rPr>
        <w:t>сокращ</w:t>
      </w:r>
      <w:r w:rsidR="00B45F61" w:rsidRPr="00FE0540">
        <w:rPr>
          <w:sz w:val="28"/>
          <w:szCs w:val="28"/>
        </w:rPr>
        <w:t>ение международных барьеров для осуществлени</w:t>
      </w:r>
      <w:r w:rsidR="00B45F61">
        <w:rPr>
          <w:sz w:val="28"/>
          <w:szCs w:val="28"/>
        </w:rPr>
        <w:t>я торговли и инвестиций привели</w:t>
      </w:r>
      <w:r w:rsidR="00B45F61" w:rsidRPr="00FE0540">
        <w:rPr>
          <w:sz w:val="28"/>
          <w:szCs w:val="28"/>
        </w:rPr>
        <w:t xml:space="preserve"> к крупны</w:t>
      </w:r>
      <w:r w:rsidR="00B45F61">
        <w:rPr>
          <w:sz w:val="28"/>
          <w:szCs w:val="28"/>
        </w:rPr>
        <w:t>м корпоративным реорганизациям. Ставя конечной целью юридическую интеграцию стран ЕС, Европа стремилась сф</w:t>
      </w:r>
      <w:r w:rsidR="002D7A90">
        <w:rPr>
          <w:sz w:val="28"/>
          <w:szCs w:val="28"/>
        </w:rPr>
        <w:t>ормировать единое право,</w:t>
      </w:r>
      <w:r w:rsidR="00B45F61">
        <w:rPr>
          <w:sz w:val="28"/>
          <w:szCs w:val="28"/>
        </w:rPr>
        <w:t xml:space="preserve"> регламент</w:t>
      </w:r>
      <w:r w:rsidR="002D7A90">
        <w:rPr>
          <w:sz w:val="28"/>
          <w:szCs w:val="28"/>
        </w:rPr>
        <w:t>ирующее</w:t>
      </w:r>
      <w:r w:rsidR="00B45F61">
        <w:rPr>
          <w:sz w:val="28"/>
          <w:szCs w:val="28"/>
        </w:rPr>
        <w:t xml:space="preserve"> хозяйственные </w:t>
      </w:r>
      <w:r w:rsidR="00B45F61">
        <w:rPr>
          <w:sz w:val="28"/>
          <w:szCs w:val="28"/>
        </w:rPr>
        <w:lastRenderedPageBreak/>
        <w:t>связи на всей территории внутреннего рынка ЕС, поглотившего национальные рынки стран-членов.</w:t>
      </w:r>
      <w:r w:rsidR="00B45F61">
        <w:rPr>
          <w:rStyle w:val="FootnoteReference"/>
          <w:sz w:val="28"/>
          <w:szCs w:val="28"/>
        </w:rPr>
        <w:footnoteReference w:id="7"/>
      </w:r>
      <w:r w:rsidR="00282A5B">
        <w:rPr>
          <w:sz w:val="28"/>
          <w:szCs w:val="28"/>
        </w:rPr>
        <w:t xml:space="preserve"> </w:t>
      </w:r>
    </w:p>
    <w:p w14:paraId="00BE9728" w14:textId="46201676" w:rsidR="00661C14" w:rsidRPr="00661C14" w:rsidRDefault="00661C14" w:rsidP="000F7BF1">
      <w:pPr>
        <w:spacing w:line="360" w:lineRule="auto"/>
        <w:ind w:firstLine="720"/>
        <w:jc w:val="both"/>
        <w:rPr>
          <w:sz w:val="28"/>
          <w:szCs w:val="28"/>
        </w:rPr>
      </w:pPr>
      <w:r w:rsidRPr="005541F2">
        <w:rPr>
          <w:sz w:val="28"/>
          <w:szCs w:val="28"/>
        </w:rPr>
        <w:t>Таким образом, глобализация и европейская экономическая интеграция способствуют росту числа слияний и поглощений</w:t>
      </w:r>
      <w:r w:rsidR="006D4A9E" w:rsidRPr="005541F2">
        <w:rPr>
          <w:sz w:val="28"/>
          <w:szCs w:val="28"/>
        </w:rPr>
        <w:t xml:space="preserve">, ведут к укрупнению компаний. Компании стремятся расширятся </w:t>
      </w:r>
      <w:r w:rsidR="004D194F" w:rsidRPr="005541F2">
        <w:rPr>
          <w:sz w:val="28"/>
          <w:szCs w:val="28"/>
        </w:rPr>
        <w:t xml:space="preserve">и функционировать на мировых рынках. Однако слияния и поглощения имеют и обратную сторону: они ведут к возникновению доминирующих на рынке компаний и снижению конкуренции, что несет в себе потенциальную угрозу для </w:t>
      </w:r>
      <w:r w:rsidR="00AD50A5" w:rsidRPr="005541F2">
        <w:rPr>
          <w:sz w:val="28"/>
          <w:szCs w:val="28"/>
        </w:rPr>
        <w:t>бизнеса</w:t>
      </w:r>
      <w:r w:rsidR="004D194F" w:rsidRPr="005541F2">
        <w:rPr>
          <w:sz w:val="28"/>
          <w:szCs w:val="28"/>
        </w:rPr>
        <w:t>, потребителей и для экономики в целом. Следовательно, необходим инструмент</w:t>
      </w:r>
      <w:r w:rsidR="00D764B2">
        <w:rPr>
          <w:sz w:val="28"/>
          <w:szCs w:val="28"/>
        </w:rPr>
        <w:t xml:space="preserve"> для</w:t>
      </w:r>
      <w:r w:rsidR="004D194F" w:rsidRPr="005541F2">
        <w:rPr>
          <w:sz w:val="28"/>
          <w:szCs w:val="28"/>
        </w:rPr>
        <w:t xml:space="preserve"> регулирования слияний и поглощений и поддержания конкурентной среды н</w:t>
      </w:r>
      <w:r w:rsidR="00D764B2">
        <w:rPr>
          <w:sz w:val="28"/>
          <w:szCs w:val="28"/>
        </w:rPr>
        <w:t>а всей территории Европейского С</w:t>
      </w:r>
      <w:r w:rsidR="004D194F" w:rsidRPr="005541F2">
        <w:rPr>
          <w:sz w:val="28"/>
          <w:szCs w:val="28"/>
        </w:rPr>
        <w:t>оюза.</w:t>
      </w:r>
    </w:p>
    <w:p w14:paraId="5ED102E1" w14:textId="77777777" w:rsidR="00C313D7" w:rsidRDefault="00C313D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1CFB4322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6E4B20E0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5339340D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548EA82B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7FD66477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5ED92A2E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4C3417C7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05810ACF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42884EB0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023F8537" w14:textId="77777777" w:rsidR="00B07587" w:rsidRDefault="00B07587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75205581" w14:textId="77777777" w:rsidR="00AD50A5" w:rsidRDefault="00AD50A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41170875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2BAC3FB4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0A14B602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5797277E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5CD2F286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23AEF225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098C4BC3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664334E8" w14:textId="77777777" w:rsidR="00B22E05" w:rsidRDefault="00B22E0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747D1C83" w14:textId="77777777" w:rsidR="00AD50A5" w:rsidRDefault="00AD50A5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01E3A194" w14:textId="77777777" w:rsidR="005541F2" w:rsidRDefault="005541F2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580A80A3" w14:textId="77777777" w:rsidR="00D764B2" w:rsidRDefault="00D764B2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25F5E0E8" w14:textId="77777777" w:rsidR="00D764B2" w:rsidRDefault="00D764B2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64C1E923" w14:textId="77777777" w:rsidR="00D764B2" w:rsidRDefault="00D764B2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7E19E124" w14:textId="77777777" w:rsidR="00D764B2" w:rsidRDefault="00D764B2" w:rsidP="000F7BF1">
      <w:pPr>
        <w:spacing w:line="360" w:lineRule="auto"/>
        <w:ind w:firstLine="720"/>
        <w:jc w:val="both"/>
        <w:rPr>
          <w:sz w:val="28"/>
          <w:szCs w:val="28"/>
        </w:rPr>
      </w:pPr>
    </w:p>
    <w:p w14:paraId="7F69CAE1" w14:textId="77777777" w:rsidR="00C07BD1" w:rsidRDefault="00C07BD1" w:rsidP="00A46B70">
      <w:pPr>
        <w:spacing w:line="360" w:lineRule="auto"/>
        <w:jc w:val="both"/>
        <w:rPr>
          <w:sz w:val="28"/>
          <w:szCs w:val="28"/>
        </w:rPr>
      </w:pPr>
    </w:p>
    <w:p w14:paraId="18990B8F" w14:textId="77777777" w:rsidR="00C07BD1" w:rsidRDefault="00C07BD1" w:rsidP="00A46B70">
      <w:pPr>
        <w:spacing w:line="360" w:lineRule="auto"/>
        <w:jc w:val="both"/>
        <w:rPr>
          <w:sz w:val="28"/>
          <w:szCs w:val="28"/>
        </w:rPr>
      </w:pPr>
    </w:p>
    <w:p w14:paraId="702DEA9C" w14:textId="136C308B" w:rsidR="006F3F43" w:rsidRPr="0039129D" w:rsidRDefault="006F3F43" w:rsidP="006F3F4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45AD6" w:rsidRPr="0039129D">
        <w:rPr>
          <w:b/>
          <w:sz w:val="32"/>
          <w:szCs w:val="32"/>
        </w:rPr>
        <w:t>.</w:t>
      </w:r>
      <w:r w:rsidR="0039129D" w:rsidRPr="0039129D">
        <w:rPr>
          <w:b/>
          <w:sz w:val="32"/>
          <w:szCs w:val="32"/>
        </w:rPr>
        <w:t xml:space="preserve"> Политика ЕС по слияниям и поглощениям</w:t>
      </w:r>
    </w:p>
    <w:p w14:paraId="289D61A9" w14:textId="5F846EF2" w:rsidR="00A45AD6" w:rsidRPr="0039129D" w:rsidRDefault="00A45AD6" w:rsidP="006F3F43">
      <w:pPr>
        <w:spacing w:line="360" w:lineRule="auto"/>
        <w:ind w:firstLine="720"/>
        <w:jc w:val="both"/>
        <w:rPr>
          <w:b/>
          <w:sz w:val="32"/>
          <w:szCs w:val="32"/>
        </w:rPr>
      </w:pPr>
      <w:r w:rsidRPr="005534BC">
        <w:rPr>
          <w:b/>
          <w:sz w:val="32"/>
          <w:szCs w:val="32"/>
        </w:rPr>
        <w:t>2.1</w:t>
      </w:r>
      <w:r w:rsidR="00EA2651" w:rsidRPr="005534BC">
        <w:rPr>
          <w:b/>
          <w:sz w:val="32"/>
          <w:szCs w:val="32"/>
        </w:rPr>
        <w:t>.</w:t>
      </w:r>
      <w:r w:rsidR="0039129D" w:rsidRPr="005534BC">
        <w:rPr>
          <w:b/>
          <w:sz w:val="32"/>
          <w:szCs w:val="32"/>
        </w:rPr>
        <w:t xml:space="preserve"> </w:t>
      </w:r>
      <w:r w:rsidR="0039129D" w:rsidRPr="0039129D">
        <w:rPr>
          <w:b/>
          <w:sz w:val="32"/>
          <w:szCs w:val="32"/>
        </w:rPr>
        <w:t>Правовые основы регулирования конкуренции в ЕС</w:t>
      </w:r>
    </w:p>
    <w:p w14:paraId="4A556E08" w14:textId="77777777" w:rsidR="00890564" w:rsidRDefault="00890564" w:rsidP="006F3F43">
      <w:pPr>
        <w:spacing w:line="360" w:lineRule="auto"/>
        <w:ind w:firstLine="720"/>
        <w:jc w:val="both"/>
        <w:rPr>
          <w:sz w:val="28"/>
          <w:szCs w:val="28"/>
        </w:rPr>
      </w:pPr>
    </w:p>
    <w:p w14:paraId="0F6D9A1A" w14:textId="2D8EA719" w:rsidR="00B22E05" w:rsidRDefault="00B22E05" w:rsidP="006F3F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Конкурентное право ЕС </w:t>
      </w:r>
      <w:r w:rsidR="00F26F43">
        <w:rPr>
          <w:sz w:val="28"/>
          <w:szCs w:val="28"/>
        </w:rPr>
        <w:t>представляет собой</w:t>
      </w:r>
      <w:r>
        <w:rPr>
          <w:sz w:val="28"/>
          <w:szCs w:val="28"/>
        </w:rPr>
        <w:t xml:space="preserve"> наднациональный инструмент поддержания «справедливой» конкуренции на территории </w:t>
      </w:r>
      <w:r w:rsidR="00D764B2">
        <w:rPr>
          <w:sz w:val="28"/>
          <w:szCs w:val="28"/>
        </w:rPr>
        <w:t>Европейского сообще</w:t>
      </w:r>
      <w:r w:rsidR="00147536">
        <w:rPr>
          <w:sz w:val="28"/>
          <w:szCs w:val="28"/>
        </w:rPr>
        <w:t>ства</w:t>
      </w:r>
      <w:r>
        <w:rPr>
          <w:sz w:val="28"/>
          <w:szCs w:val="28"/>
        </w:rPr>
        <w:t xml:space="preserve">. Успешное развитие европейской интеграции – это во многом заслуга прочного правового фундамента ЕС. </w:t>
      </w:r>
    </w:p>
    <w:p w14:paraId="6AC5051E" w14:textId="6DD73AEC" w:rsidR="001E24E0" w:rsidRPr="001E24E0" w:rsidRDefault="00631178" w:rsidP="00C446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Европейское право основано на базовых принципах,</w:t>
      </w:r>
      <w:r w:rsidR="000D1FFA">
        <w:rPr>
          <w:sz w:val="28"/>
          <w:szCs w:val="28"/>
        </w:rPr>
        <w:t xml:space="preserve"> центральное место среди которых за</w:t>
      </w:r>
      <w:r w:rsidR="00C44659">
        <w:rPr>
          <w:sz w:val="28"/>
          <w:szCs w:val="28"/>
        </w:rPr>
        <w:t xml:space="preserve">нимают цели и задачи интеграции: содействие гармоничному экономическому развитию, сбалансированному росту, повышению уровня и качества жизни граждан. </w:t>
      </w:r>
      <w:r>
        <w:rPr>
          <w:sz w:val="28"/>
          <w:szCs w:val="28"/>
        </w:rPr>
        <w:t xml:space="preserve"> </w:t>
      </w:r>
      <w:r w:rsidR="00C44659">
        <w:rPr>
          <w:sz w:val="28"/>
          <w:szCs w:val="28"/>
        </w:rPr>
        <w:t xml:space="preserve">Эти принципы </w:t>
      </w:r>
      <w:r>
        <w:rPr>
          <w:sz w:val="28"/>
          <w:szCs w:val="28"/>
        </w:rPr>
        <w:t xml:space="preserve">прослеживаются на примере конкурентного права. Во-первых, это  </w:t>
      </w:r>
      <w:r w:rsidR="00B22E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31178">
        <w:rPr>
          <w:sz w:val="28"/>
          <w:szCs w:val="28"/>
        </w:rPr>
        <w:t>заимодополняемость</w:t>
      </w:r>
      <w:proofErr w:type="spellEnd"/>
      <w:r w:rsidRPr="00631178">
        <w:rPr>
          <w:sz w:val="28"/>
          <w:szCs w:val="28"/>
        </w:rPr>
        <w:t xml:space="preserve"> права Сообщества и национального права</w:t>
      </w:r>
      <w:r>
        <w:rPr>
          <w:sz w:val="28"/>
          <w:szCs w:val="28"/>
        </w:rPr>
        <w:t>. Сделки слияний и поглощений, имеющие значение в масштабах всего Сообщества</w:t>
      </w:r>
      <w:r w:rsidR="00F26F4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одобрению на наднациональном уровне, в то время как небольшие сделки рассматриваются национальными органами.</w:t>
      </w:r>
      <w:r w:rsidR="00C44659">
        <w:rPr>
          <w:sz w:val="28"/>
          <w:szCs w:val="28"/>
        </w:rPr>
        <w:t xml:space="preserve"> </w:t>
      </w:r>
      <w:r w:rsidR="00F26F43">
        <w:rPr>
          <w:sz w:val="28"/>
          <w:szCs w:val="28"/>
        </w:rPr>
        <w:t>Принцип</w:t>
      </w:r>
      <w:r w:rsidR="00B22E05">
        <w:rPr>
          <w:sz w:val="28"/>
          <w:szCs w:val="28"/>
        </w:rPr>
        <w:t xml:space="preserve"> автономности европейског</w:t>
      </w:r>
      <w:r w:rsidR="00F26F43">
        <w:rPr>
          <w:sz w:val="28"/>
          <w:szCs w:val="28"/>
        </w:rPr>
        <w:t>о права гарантирует</w:t>
      </w:r>
      <w:r w:rsidR="008C1A03">
        <w:rPr>
          <w:sz w:val="28"/>
          <w:szCs w:val="28"/>
        </w:rPr>
        <w:t xml:space="preserve"> его</w:t>
      </w:r>
      <w:r w:rsidR="00B22E05" w:rsidRPr="008072F3">
        <w:rPr>
          <w:rFonts w:eastAsiaTheme="minorEastAsia"/>
          <w:sz w:val="28"/>
          <w:szCs w:val="28"/>
          <w:lang w:eastAsia="en-US"/>
        </w:rPr>
        <w:t xml:space="preserve"> </w:t>
      </w:r>
      <w:r w:rsidR="00B22E05" w:rsidRPr="008072F3">
        <w:rPr>
          <w:sz w:val="28"/>
          <w:szCs w:val="28"/>
        </w:rPr>
        <w:t>единообразное</w:t>
      </w:r>
      <w:r w:rsidR="00B22E05">
        <w:rPr>
          <w:sz w:val="28"/>
          <w:szCs w:val="28"/>
        </w:rPr>
        <w:t xml:space="preserve"> применение на всей территории С</w:t>
      </w:r>
      <w:r w:rsidR="00B22E05" w:rsidRPr="008072F3">
        <w:rPr>
          <w:sz w:val="28"/>
          <w:szCs w:val="28"/>
        </w:rPr>
        <w:t>ообщества</w:t>
      </w:r>
      <w:r w:rsidR="00B22E05">
        <w:rPr>
          <w:sz w:val="28"/>
          <w:szCs w:val="28"/>
        </w:rPr>
        <w:t>.</w:t>
      </w:r>
      <w:r w:rsidR="00B22E05">
        <w:rPr>
          <w:rStyle w:val="FootnoteReference"/>
          <w:sz w:val="28"/>
          <w:szCs w:val="28"/>
        </w:rPr>
        <w:footnoteReference w:id="8"/>
      </w:r>
      <w:r w:rsidR="00B22E05">
        <w:rPr>
          <w:sz w:val="28"/>
          <w:szCs w:val="28"/>
        </w:rPr>
        <w:t xml:space="preserve"> </w:t>
      </w:r>
      <w:r w:rsidR="00147536">
        <w:rPr>
          <w:sz w:val="28"/>
          <w:szCs w:val="28"/>
        </w:rPr>
        <w:t>Из этого следует, что</w:t>
      </w:r>
      <w:r w:rsidR="00B22E05">
        <w:rPr>
          <w:sz w:val="28"/>
          <w:szCs w:val="28"/>
        </w:rPr>
        <w:t xml:space="preserve"> конкурентная право ЕС</w:t>
      </w:r>
      <w:r w:rsidR="00147536">
        <w:rPr>
          <w:sz w:val="28"/>
          <w:szCs w:val="28"/>
        </w:rPr>
        <w:t xml:space="preserve"> </w:t>
      </w:r>
      <w:r w:rsidR="00B22E05">
        <w:rPr>
          <w:sz w:val="28"/>
          <w:szCs w:val="28"/>
        </w:rPr>
        <w:t xml:space="preserve">применимо ко всем странам-членам Европейского Союза в равной степени. </w:t>
      </w:r>
    </w:p>
    <w:p w14:paraId="06691DF2" w14:textId="23969098" w:rsidR="00B22E05" w:rsidRDefault="00CD0251" w:rsidP="009112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Конкурентное право ЕС формировалось на протяжении десятилетий</w:t>
      </w:r>
      <w:r w:rsidR="00F26F43">
        <w:rPr>
          <w:sz w:val="28"/>
          <w:szCs w:val="28"/>
        </w:rPr>
        <w:t>, и его</w:t>
      </w:r>
      <w:r>
        <w:rPr>
          <w:sz w:val="28"/>
          <w:szCs w:val="28"/>
        </w:rPr>
        <w:t xml:space="preserve"> основные принципы были заложены еще договорами о создании </w:t>
      </w:r>
      <w:r>
        <w:rPr>
          <w:sz w:val="28"/>
          <w:szCs w:val="28"/>
        </w:rPr>
        <w:lastRenderedPageBreak/>
        <w:t xml:space="preserve">Европейского Объединения Угля и Стали и Европейского Экономического Сообщества. </w:t>
      </w:r>
    </w:p>
    <w:p w14:paraId="71E534B1" w14:textId="7B47CB75" w:rsidR="003E4593" w:rsidRDefault="000F7BF1" w:rsidP="000F7BF1">
      <w:pPr>
        <w:spacing w:line="360" w:lineRule="auto"/>
        <w:ind w:firstLine="720"/>
        <w:jc w:val="both"/>
        <w:rPr>
          <w:sz w:val="28"/>
          <w:szCs w:val="28"/>
        </w:rPr>
      </w:pPr>
      <w:r w:rsidRPr="00783B4C">
        <w:rPr>
          <w:sz w:val="28"/>
          <w:szCs w:val="28"/>
        </w:rPr>
        <w:t>В Римском договоре о создании Е</w:t>
      </w:r>
      <w:r w:rsidR="00E76860">
        <w:rPr>
          <w:sz w:val="28"/>
          <w:szCs w:val="28"/>
        </w:rPr>
        <w:t xml:space="preserve">вропейского </w:t>
      </w:r>
      <w:r w:rsidRPr="00783B4C">
        <w:rPr>
          <w:sz w:val="28"/>
          <w:szCs w:val="28"/>
        </w:rPr>
        <w:t>Э</w:t>
      </w:r>
      <w:r w:rsidR="00E76860">
        <w:rPr>
          <w:sz w:val="28"/>
          <w:szCs w:val="28"/>
        </w:rPr>
        <w:t xml:space="preserve">кономического </w:t>
      </w:r>
      <w:r w:rsidRPr="004F54D4">
        <w:rPr>
          <w:sz w:val="28"/>
          <w:szCs w:val="28"/>
        </w:rPr>
        <w:t>С</w:t>
      </w:r>
      <w:r w:rsidR="00E76860" w:rsidRPr="004F54D4">
        <w:rPr>
          <w:sz w:val="28"/>
          <w:szCs w:val="28"/>
        </w:rPr>
        <w:t>ообщества</w:t>
      </w:r>
      <w:r w:rsidRPr="004F54D4">
        <w:rPr>
          <w:sz w:val="28"/>
          <w:szCs w:val="28"/>
        </w:rPr>
        <w:t xml:space="preserve"> были сформулированы </w:t>
      </w:r>
      <w:r w:rsidR="00194692" w:rsidRPr="004F54D4">
        <w:rPr>
          <w:sz w:val="28"/>
          <w:szCs w:val="28"/>
        </w:rPr>
        <w:t xml:space="preserve">основные нормы </w:t>
      </w:r>
      <w:r w:rsidRPr="004F54D4">
        <w:rPr>
          <w:sz w:val="28"/>
          <w:szCs w:val="28"/>
        </w:rPr>
        <w:t xml:space="preserve">европейской антимонопольной </w:t>
      </w:r>
      <w:r w:rsidR="00194692" w:rsidRPr="004F54D4">
        <w:rPr>
          <w:sz w:val="28"/>
          <w:szCs w:val="28"/>
        </w:rPr>
        <w:t xml:space="preserve">политики, согласно которым в задачи и </w:t>
      </w:r>
      <w:r w:rsidR="003E4593" w:rsidRPr="004F54D4">
        <w:rPr>
          <w:sz w:val="28"/>
          <w:szCs w:val="28"/>
        </w:rPr>
        <w:t xml:space="preserve"> </w:t>
      </w:r>
      <w:r w:rsidR="00194692" w:rsidRPr="004F54D4">
        <w:rPr>
          <w:sz w:val="28"/>
          <w:szCs w:val="28"/>
        </w:rPr>
        <w:t>компетенцию институтов Сообщества входит обеспечение равных условий конкуренции на создаваемом обще</w:t>
      </w:r>
      <w:r w:rsidR="00047D0F">
        <w:rPr>
          <w:sz w:val="28"/>
          <w:szCs w:val="28"/>
        </w:rPr>
        <w:t>м</w:t>
      </w:r>
      <w:r w:rsidR="00194692" w:rsidRPr="004F54D4">
        <w:rPr>
          <w:sz w:val="28"/>
          <w:szCs w:val="28"/>
        </w:rPr>
        <w:t xml:space="preserve"> рынке. Также по мере необходимости</w:t>
      </w:r>
      <w:r w:rsidR="00443333" w:rsidRPr="004F54D4">
        <w:rPr>
          <w:sz w:val="28"/>
          <w:szCs w:val="28"/>
        </w:rPr>
        <w:t xml:space="preserve"> принимают</w:t>
      </w:r>
      <w:r w:rsidR="00194692" w:rsidRPr="004F54D4">
        <w:rPr>
          <w:sz w:val="28"/>
          <w:szCs w:val="28"/>
        </w:rPr>
        <w:t>ся</w:t>
      </w:r>
      <w:r w:rsidR="00443333" w:rsidRPr="004F54D4">
        <w:rPr>
          <w:sz w:val="28"/>
          <w:szCs w:val="28"/>
        </w:rPr>
        <w:t xml:space="preserve"> </w:t>
      </w:r>
      <w:r w:rsidR="003B287C" w:rsidRPr="004F54D4">
        <w:rPr>
          <w:sz w:val="28"/>
          <w:szCs w:val="28"/>
        </w:rPr>
        <w:t xml:space="preserve">директивы с целью координации норм законодательства стран </w:t>
      </w:r>
      <w:r w:rsidR="004F54D4" w:rsidRPr="004F54D4">
        <w:rPr>
          <w:sz w:val="28"/>
          <w:szCs w:val="28"/>
        </w:rPr>
        <w:t>Европейского Союза.</w:t>
      </w:r>
      <w:r w:rsidR="003B287C" w:rsidRPr="004F54D4">
        <w:rPr>
          <w:sz w:val="28"/>
          <w:szCs w:val="28"/>
        </w:rPr>
        <w:t xml:space="preserve"> Другой</w:t>
      </w:r>
      <w:r w:rsidR="003B287C">
        <w:rPr>
          <w:sz w:val="28"/>
          <w:szCs w:val="28"/>
        </w:rPr>
        <w:t xml:space="preserve"> способ формирования права компаний основывался на заключении международных конвенций: государства-члены вступают по мере необходимости в переговоры</w:t>
      </w:r>
      <w:r w:rsidR="0055180F">
        <w:rPr>
          <w:sz w:val="28"/>
          <w:szCs w:val="28"/>
        </w:rPr>
        <w:t>, чтобы урегулировать существующие проблемы.</w:t>
      </w:r>
    </w:p>
    <w:p w14:paraId="2C320AF0" w14:textId="43A741E0" w:rsidR="00B20103" w:rsidRDefault="00B20103" w:rsidP="000F7B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концентрации производства, т</w:t>
      </w:r>
      <w:r w:rsidR="006D6CD8">
        <w:rPr>
          <w:sz w:val="28"/>
          <w:szCs w:val="28"/>
        </w:rPr>
        <w:t>о</w:t>
      </w:r>
      <w:r>
        <w:rPr>
          <w:sz w:val="28"/>
          <w:szCs w:val="28"/>
        </w:rPr>
        <w:t xml:space="preserve"> есть слияний и поглощений предприятий, то</w:t>
      </w:r>
      <w:r w:rsidR="0014753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1966 г. были приняты документы, в которых давалось определе</w:t>
      </w:r>
      <w:r w:rsidR="006D6CD8">
        <w:rPr>
          <w:sz w:val="28"/>
          <w:szCs w:val="28"/>
        </w:rPr>
        <w:t xml:space="preserve">ние крупных слияний, ставящих под угрозу «свободную» конкуренцию. Важную роль в поддержании конкуренции играл Суд ЕС, который рассматривал иски комиссии против компаний или же компаний против комиссии. </w:t>
      </w:r>
    </w:p>
    <w:p w14:paraId="45F39914" w14:textId="793C7F77" w:rsidR="009112CC" w:rsidRDefault="009112CC" w:rsidP="00B201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Догово</w:t>
      </w:r>
      <w:r w:rsidR="00147536">
        <w:rPr>
          <w:sz w:val="28"/>
          <w:szCs w:val="28"/>
        </w:rPr>
        <w:t>ре о Европейском Союзе 1992 г. г</w:t>
      </w:r>
      <w:r>
        <w:rPr>
          <w:sz w:val="28"/>
          <w:szCs w:val="28"/>
        </w:rPr>
        <w:t>оворилось следующее: «</w:t>
      </w:r>
      <w:r w:rsidRPr="00CD0251">
        <w:rPr>
          <w:sz w:val="28"/>
          <w:szCs w:val="28"/>
        </w:rPr>
        <w:t>Злоупотребление одним или несколькими предприятиями своим доминирующим положением на общем рынке или на существенной его части запрещается как несовместимое с принципами общего рынка в той мере, в какой от него может пострадать торговля между государствами-членами.</w:t>
      </w:r>
      <w:r>
        <w:rPr>
          <w:sz w:val="28"/>
          <w:szCs w:val="28"/>
        </w:rPr>
        <w:t>»</w:t>
      </w:r>
    </w:p>
    <w:p w14:paraId="12D59493" w14:textId="0A5149DB" w:rsidR="00B20103" w:rsidRDefault="00D75A1A" w:rsidP="00FB2521">
      <w:pPr>
        <w:spacing w:line="360" w:lineRule="auto"/>
        <w:ind w:firstLine="7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 xml:space="preserve">Европейская комиссия </w:t>
      </w:r>
      <w:r w:rsidRPr="00B20103">
        <w:rPr>
          <w:sz w:val="28"/>
          <w:szCs w:val="28"/>
        </w:rPr>
        <w:t>получила контроль по регулированию сделок слияний и поглощений в 1989 г.,</w:t>
      </w:r>
      <w:r w:rsidR="004F54D4" w:rsidRPr="00B20103">
        <w:rPr>
          <w:sz w:val="28"/>
          <w:szCs w:val="28"/>
        </w:rPr>
        <w:t xml:space="preserve"> когда</w:t>
      </w:r>
      <w:r w:rsidR="009112CC" w:rsidRPr="00B20103">
        <w:rPr>
          <w:sz w:val="28"/>
          <w:szCs w:val="28"/>
        </w:rPr>
        <w:t xml:space="preserve"> был принят регламент № 4064/89 по контролю за слияниями компаний</w:t>
      </w:r>
      <w:r w:rsidR="00B20103">
        <w:rPr>
          <w:sz w:val="28"/>
          <w:szCs w:val="28"/>
        </w:rPr>
        <w:t>.</w:t>
      </w:r>
      <w:r w:rsidR="00B20103" w:rsidRPr="00B20103">
        <w:rPr>
          <w:rStyle w:val="FootnoteReference"/>
          <w:sz w:val="28"/>
          <w:szCs w:val="28"/>
        </w:rPr>
        <w:footnoteReference w:id="9"/>
      </w:r>
      <w:r w:rsidRPr="00B20103">
        <w:rPr>
          <w:sz w:val="28"/>
          <w:szCs w:val="28"/>
        </w:rPr>
        <w:t xml:space="preserve"> </w:t>
      </w:r>
      <w:r w:rsidR="009112CC" w:rsidRPr="00B20103">
        <w:rPr>
          <w:sz w:val="28"/>
          <w:szCs w:val="28"/>
        </w:rPr>
        <w:t>В</w:t>
      </w:r>
      <w:r w:rsidRPr="00B20103">
        <w:rPr>
          <w:sz w:val="28"/>
          <w:szCs w:val="28"/>
        </w:rPr>
        <w:t>ведение</w:t>
      </w:r>
      <w:r w:rsidR="009112CC">
        <w:rPr>
          <w:sz w:val="28"/>
          <w:szCs w:val="28"/>
        </w:rPr>
        <w:t xml:space="preserve"> </w:t>
      </w:r>
      <w:r w:rsidR="009112CC" w:rsidRPr="00FE0540">
        <w:rPr>
          <w:sz w:val="28"/>
          <w:szCs w:val="28"/>
        </w:rPr>
        <w:t>в силу</w:t>
      </w:r>
      <w:r w:rsidRPr="00FE0540">
        <w:rPr>
          <w:sz w:val="28"/>
          <w:szCs w:val="28"/>
        </w:rPr>
        <w:t xml:space="preserve"> этого закона рассматривалось</w:t>
      </w:r>
      <w:r w:rsidR="00C71E91">
        <w:rPr>
          <w:sz w:val="28"/>
          <w:szCs w:val="28"/>
        </w:rPr>
        <w:t xml:space="preserve"> как одна</w:t>
      </w:r>
      <w:r w:rsidRPr="00FE0540">
        <w:rPr>
          <w:sz w:val="28"/>
          <w:szCs w:val="28"/>
        </w:rPr>
        <w:t xml:space="preserve"> из</w:t>
      </w:r>
      <w:r w:rsidR="00C44684">
        <w:rPr>
          <w:sz w:val="28"/>
          <w:szCs w:val="28"/>
        </w:rPr>
        <w:t xml:space="preserve"> </w:t>
      </w:r>
      <w:r w:rsidR="00C71E91">
        <w:rPr>
          <w:sz w:val="28"/>
          <w:szCs w:val="28"/>
        </w:rPr>
        <w:t>мер</w:t>
      </w:r>
      <w:r w:rsidR="00C44684">
        <w:rPr>
          <w:sz w:val="28"/>
          <w:szCs w:val="28"/>
        </w:rPr>
        <w:t>, необходимых</w:t>
      </w:r>
      <w:r w:rsidRPr="00FE0540">
        <w:rPr>
          <w:sz w:val="28"/>
          <w:szCs w:val="28"/>
        </w:rPr>
        <w:t xml:space="preserve"> для развития единого интегрированного ры</w:t>
      </w:r>
      <w:r w:rsidR="00553C56">
        <w:rPr>
          <w:sz w:val="28"/>
          <w:szCs w:val="28"/>
        </w:rPr>
        <w:t>нка, общего рынка Европейского С</w:t>
      </w:r>
      <w:r w:rsidRPr="00FE0540">
        <w:rPr>
          <w:sz w:val="28"/>
          <w:szCs w:val="28"/>
        </w:rPr>
        <w:t xml:space="preserve">оюза. </w:t>
      </w:r>
    </w:p>
    <w:p w14:paraId="7B2E5CDF" w14:textId="703F659A" w:rsidR="00D75A1A" w:rsidRDefault="009112CC" w:rsidP="00FB252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Европейская комиссия – это главный орган, отвечающий за реал</w:t>
      </w:r>
      <w:r w:rsidR="00EB4267">
        <w:rPr>
          <w:sz w:val="28"/>
          <w:szCs w:val="28"/>
        </w:rPr>
        <w:t>изацию конкурентной политики ЕС</w:t>
      </w:r>
      <w:r>
        <w:rPr>
          <w:sz w:val="28"/>
          <w:szCs w:val="28"/>
        </w:rPr>
        <w:t>. Она контролирует соблюдение правил честной конкуренции в государствах-членах и обеспечивает устранение возникающих нарушений. Европейская комиссия – исполнительный орган, который при содействии Суда ЕС совершенствует правила конкуренции.</w:t>
      </w:r>
      <w:r>
        <w:rPr>
          <w:rStyle w:val="FootnoteReference"/>
          <w:sz w:val="28"/>
          <w:szCs w:val="28"/>
        </w:rPr>
        <w:footnoteReference w:id="10"/>
      </w:r>
    </w:p>
    <w:p w14:paraId="2F00836A" w14:textId="78F5A2E8" w:rsidR="00CE5E74" w:rsidRDefault="00B20103" w:rsidP="00B45F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5F61">
        <w:rPr>
          <w:sz w:val="28"/>
          <w:szCs w:val="28"/>
        </w:rPr>
        <w:t xml:space="preserve"> 2001 г. государства-члены ЕС задумались о более значимом пересмотре законодательства в области слияний и поглощений. </w:t>
      </w:r>
      <w:r w:rsidR="00CE5E74" w:rsidRPr="00FE0540">
        <w:rPr>
          <w:sz w:val="28"/>
          <w:szCs w:val="28"/>
        </w:rPr>
        <w:t xml:space="preserve">Необходим </w:t>
      </w:r>
      <w:r w:rsidR="00B45F61">
        <w:rPr>
          <w:sz w:val="28"/>
          <w:szCs w:val="28"/>
        </w:rPr>
        <w:t xml:space="preserve">был </w:t>
      </w:r>
      <w:r w:rsidR="00CE5E74" w:rsidRPr="00FE0540">
        <w:rPr>
          <w:sz w:val="28"/>
          <w:szCs w:val="28"/>
        </w:rPr>
        <w:t>единый инструмент для осуществления контроля над всеми осуществляемыми сде</w:t>
      </w:r>
      <w:r w:rsidR="00553C56">
        <w:rPr>
          <w:sz w:val="28"/>
          <w:szCs w:val="28"/>
        </w:rPr>
        <w:t>лками слияний и поглощений</w:t>
      </w:r>
      <w:r w:rsidR="00CE5E74" w:rsidRPr="00FE0540">
        <w:rPr>
          <w:sz w:val="28"/>
          <w:szCs w:val="28"/>
        </w:rPr>
        <w:t xml:space="preserve"> в условиях их воздействия на конкурентную среду в пределах Евро</w:t>
      </w:r>
      <w:r w:rsidR="00C71E91">
        <w:rPr>
          <w:sz w:val="28"/>
          <w:szCs w:val="28"/>
        </w:rPr>
        <w:t>пейского Союза. Так, в 2004 г.</w:t>
      </w:r>
      <w:r w:rsidR="00CE5E74" w:rsidRPr="00FE0540">
        <w:rPr>
          <w:sz w:val="28"/>
          <w:szCs w:val="28"/>
        </w:rPr>
        <w:t xml:space="preserve"> вступил в силу Регламент Совета (ЕС) № 139/2004  о контроле за концентрацией предприятий (Регламент ЕС о слияниях). Положения данного регламента применимы к тем сделкам, участниками которых становятся более одного госу</w:t>
      </w:r>
      <w:r w:rsidR="00E65B2E">
        <w:rPr>
          <w:sz w:val="28"/>
          <w:szCs w:val="28"/>
        </w:rPr>
        <w:t>дарства-члена, и которые имеют значение в масштабах всего сообщества.</w:t>
      </w:r>
      <w:r w:rsidR="00E65B2E">
        <w:rPr>
          <w:rStyle w:val="FootnoteReference"/>
          <w:sz w:val="28"/>
          <w:szCs w:val="28"/>
        </w:rPr>
        <w:footnoteReference w:id="11"/>
      </w:r>
    </w:p>
    <w:p w14:paraId="5D58E11C" w14:textId="43B139A7" w:rsidR="0039315C" w:rsidRDefault="0039315C" w:rsidP="00B45F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Исключительной компетенцией применять данный регламент наделена </w:t>
      </w:r>
      <w:r w:rsidR="006D6CD8">
        <w:rPr>
          <w:sz w:val="28"/>
          <w:szCs w:val="28"/>
        </w:rPr>
        <w:t xml:space="preserve">Европейская </w:t>
      </w:r>
      <w:r>
        <w:rPr>
          <w:sz w:val="28"/>
          <w:szCs w:val="28"/>
        </w:rPr>
        <w:t xml:space="preserve">комиссия. </w:t>
      </w:r>
      <w:r w:rsidR="00EB4267">
        <w:rPr>
          <w:sz w:val="28"/>
          <w:szCs w:val="28"/>
        </w:rPr>
        <w:t>В</w:t>
      </w:r>
      <w:r w:rsidR="00553C56">
        <w:rPr>
          <w:sz w:val="28"/>
          <w:szCs w:val="28"/>
        </w:rPr>
        <w:t xml:space="preserve"> рамках К</w:t>
      </w:r>
      <w:r w:rsidR="006D6CD8" w:rsidRPr="006D6CD8">
        <w:rPr>
          <w:sz w:val="28"/>
          <w:szCs w:val="28"/>
        </w:rPr>
        <w:t xml:space="preserve">омиссии </w:t>
      </w:r>
      <w:r w:rsidRPr="006D6CD8">
        <w:rPr>
          <w:sz w:val="28"/>
          <w:szCs w:val="28"/>
        </w:rPr>
        <w:t>была создана Генеральная дирекция по конкуренции</w:t>
      </w:r>
      <w:r w:rsidR="006D6CD8" w:rsidRPr="006D6CD8">
        <w:rPr>
          <w:sz w:val="28"/>
          <w:szCs w:val="28"/>
        </w:rPr>
        <w:t xml:space="preserve"> </w:t>
      </w:r>
      <w:r w:rsidR="00F37EA1">
        <w:rPr>
          <w:sz w:val="28"/>
          <w:szCs w:val="28"/>
        </w:rPr>
        <w:t>в этих целях</w:t>
      </w:r>
      <w:r w:rsidRPr="006D6CD8">
        <w:rPr>
          <w:sz w:val="28"/>
          <w:szCs w:val="28"/>
        </w:rPr>
        <w:t>.</w:t>
      </w:r>
      <w:r w:rsidR="00BD5728">
        <w:rPr>
          <w:sz w:val="28"/>
          <w:szCs w:val="28"/>
        </w:rPr>
        <w:t xml:space="preserve"> </w:t>
      </w:r>
    </w:p>
    <w:p w14:paraId="070F5A1C" w14:textId="52F54B42" w:rsidR="00BD5728" w:rsidRPr="00902259" w:rsidRDefault="00BD5728" w:rsidP="00EB4267">
      <w:pPr>
        <w:spacing w:line="360" w:lineRule="auto"/>
        <w:ind w:firstLine="720"/>
        <w:jc w:val="both"/>
        <w:rPr>
          <w:sz w:val="28"/>
          <w:szCs w:val="28"/>
        </w:rPr>
      </w:pPr>
      <w:r w:rsidRPr="00EB4267">
        <w:rPr>
          <w:sz w:val="28"/>
          <w:szCs w:val="28"/>
        </w:rPr>
        <w:t>Процедура контроля за сделками слияний и поглощений</w:t>
      </w:r>
      <w:r w:rsidR="00EB4267" w:rsidRPr="00EB4267">
        <w:rPr>
          <w:sz w:val="28"/>
          <w:szCs w:val="28"/>
        </w:rPr>
        <w:t xml:space="preserve"> </w:t>
      </w:r>
      <w:r w:rsidRPr="00EB4267">
        <w:rPr>
          <w:sz w:val="28"/>
          <w:szCs w:val="28"/>
        </w:rPr>
        <w:t xml:space="preserve"> </w:t>
      </w:r>
      <w:r w:rsidR="00EB4267" w:rsidRPr="00EB4267">
        <w:rPr>
          <w:sz w:val="28"/>
          <w:szCs w:val="28"/>
        </w:rPr>
        <w:t xml:space="preserve">осуществляется  в несколько этапов. </w:t>
      </w:r>
      <w:r w:rsidR="00EB4267">
        <w:rPr>
          <w:sz w:val="28"/>
          <w:szCs w:val="28"/>
        </w:rPr>
        <w:t>Прежде чем о</w:t>
      </w:r>
      <w:r w:rsidR="00553C56">
        <w:rPr>
          <w:sz w:val="28"/>
          <w:szCs w:val="28"/>
        </w:rPr>
        <w:t>фициально представить сделку на рассмотрение К</w:t>
      </w:r>
      <w:r w:rsidR="00EB4267">
        <w:rPr>
          <w:sz w:val="28"/>
          <w:szCs w:val="28"/>
        </w:rPr>
        <w:t>омиссии, ее неформально обсуждают у</w:t>
      </w:r>
      <w:r w:rsidR="00264D22">
        <w:rPr>
          <w:sz w:val="28"/>
          <w:szCs w:val="28"/>
        </w:rPr>
        <w:t>частники и Г</w:t>
      </w:r>
      <w:r w:rsidR="00A32340">
        <w:rPr>
          <w:sz w:val="28"/>
          <w:szCs w:val="28"/>
        </w:rPr>
        <w:t>енеральная дирекция</w:t>
      </w:r>
      <w:r w:rsidR="00EB4267">
        <w:rPr>
          <w:sz w:val="28"/>
          <w:szCs w:val="28"/>
        </w:rPr>
        <w:t xml:space="preserve"> по конкуренции. Предварительное обсуждение придает всей процедуре гибкость, так </w:t>
      </w:r>
      <w:r w:rsidR="00EB4267" w:rsidRPr="00512B07">
        <w:rPr>
          <w:sz w:val="28"/>
          <w:szCs w:val="28"/>
        </w:rPr>
        <w:t>как позволяет заблаговременно собрать необходимую информацию для принятия решения</w:t>
      </w:r>
      <w:r w:rsidR="00EB4267" w:rsidRPr="005534BC">
        <w:rPr>
          <w:sz w:val="28"/>
          <w:szCs w:val="28"/>
        </w:rPr>
        <w:t>.</w:t>
      </w:r>
      <w:r w:rsidR="00EB4267">
        <w:rPr>
          <w:sz w:val="28"/>
          <w:szCs w:val="28"/>
        </w:rPr>
        <w:t xml:space="preserve"> </w:t>
      </w:r>
    </w:p>
    <w:p w14:paraId="24926EE6" w14:textId="03E67EEB" w:rsidR="00843692" w:rsidRDefault="00147536" w:rsidP="00CE5E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5545">
        <w:rPr>
          <w:sz w:val="28"/>
          <w:szCs w:val="28"/>
        </w:rPr>
        <w:t>делка должна быть пред</w:t>
      </w:r>
      <w:r w:rsidRPr="00FE0540">
        <w:rPr>
          <w:sz w:val="28"/>
          <w:szCs w:val="28"/>
        </w:rPr>
        <w:t>ставлена на рассмотрение Европейской комиссии</w:t>
      </w:r>
      <w:r>
        <w:rPr>
          <w:sz w:val="28"/>
          <w:szCs w:val="28"/>
        </w:rPr>
        <w:t xml:space="preserve"> в том</w:t>
      </w:r>
      <w:r w:rsidR="00C71E91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,</w:t>
      </w:r>
      <w:r w:rsidR="00376F80" w:rsidRPr="00FE0540">
        <w:rPr>
          <w:sz w:val="28"/>
          <w:szCs w:val="28"/>
        </w:rPr>
        <w:t xml:space="preserve"> если оборот компан</w:t>
      </w:r>
      <w:r>
        <w:rPr>
          <w:sz w:val="28"/>
          <w:szCs w:val="28"/>
        </w:rPr>
        <w:t>ии превышает определенный порог. Л</w:t>
      </w:r>
      <w:r w:rsidR="00BA10F7" w:rsidRPr="00FE0540">
        <w:rPr>
          <w:sz w:val="28"/>
          <w:szCs w:val="28"/>
        </w:rPr>
        <w:t xml:space="preserve">ибо местные антимонопольные органы могут рассмотреть сделку, </w:t>
      </w:r>
      <w:r w:rsidR="00BA10F7" w:rsidRPr="00FE0540">
        <w:rPr>
          <w:sz w:val="28"/>
          <w:szCs w:val="28"/>
        </w:rPr>
        <w:lastRenderedPageBreak/>
        <w:t>если оборот компании не достигает определенного порогового уровня. Данные прави</w:t>
      </w:r>
      <w:r w:rsidR="00C44684">
        <w:rPr>
          <w:sz w:val="28"/>
          <w:szCs w:val="28"/>
        </w:rPr>
        <w:t>ла применимы ко всем сделкам не</w:t>
      </w:r>
      <w:r w:rsidR="00BA10F7" w:rsidRPr="00FE0540">
        <w:rPr>
          <w:sz w:val="28"/>
          <w:szCs w:val="28"/>
        </w:rPr>
        <w:t>з</w:t>
      </w:r>
      <w:r w:rsidR="00D562BC" w:rsidRPr="00FE0540">
        <w:rPr>
          <w:sz w:val="28"/>
          <w:szCs w:val="28"/>
        </w:rPr>
        <w:t>ависимо от того, где находится ш</w:t>
      </w:r>
      <w:r w:rsidR="00BA10F7" w:rsidRPr="00FE0540">
        <w:rPr>
          <w:sz w:val="28"/>
          <w:szCs w:val="28"/>
        </w:rPr>
        <w:t>таб квартира компании или где расположено ее основное производство. Эт</w:t>
      </w:r>
      <w:r w:rsidR="007649F1" w:rsidRPr="00FE0540">
        <w:rPr>
          <w:sz w:val="28"/>
          <w:szCs w:val="28"/>
        </w:rPr>
        <w:t>о вызвано тем, что компании, расположенные</w:t>
      </w:r>
      <w:r w:rsidR="00BA10F7" w:rsidRPr="00FE0540">
        <w:rPr>
          <w:sz w:val="28"/>
          <w:szCs w:val="28"/>
        </w:rPr>
        <w:t xml:space="preserve"> за пределами Европейского Союза</w:t>
      </w:r>
      <w:r w:rsidR="00916500">
        <w:rPr>
          <w:sz w:val="28"/>
          <w:szCs w:val="28"/>
        </w:rPr>
        <w:t>,</w:t>
      </w:r>
      <w:r w:rsidR="00BA10F7" w:rsidRPr="00FE0540">
        <w:rPr>
          <w:sz w:val="28"/>
          <w:szCs w:val="28"/>
        </w:rPr>
        <w:t xml:space="preserve"> могут влиять на рынки ЕС, если они </w:t>
      </w:r>
      <w:r w:rsidR="0039315C">
        <w:rPr>
          <w:sz w:val="28"/>
          <w:szCs w:val="28"/>
        </w:rPr>
        <w:t>осуществляют деятельность на территории Сообщества</w:t>
      </w:r>
      <w:r w:rsidR="00BA10F7" w:rsidRPr="00FE0540">
        <w:rPr>
          <w:sz w:val="28"/>
          <w:szCs w:val="28"/>
        </w:rPr>
        <w:t>.</w:t>
      </w:r>
      <w:r w:rsidR="00D562BC" w:rsidRPr="00FE0540">
        <w:rPr>
          <w:sz w:val="28"/>
          <w:szCs w:val="28"/>
        </w:rPr>
        <w:t xml:space="preserve"> </w:t>
      </w:r>
      <w:r w:rsidR="00843692" w:rsidRPr="00FE0540">
        <w:rPr>
          <w:sz w:val="28"/>
          <w:szCs w:val="28"/>
        </w:rPr>
        <w:t xml:space="preserve">Таким образом, компании со значительными доходами внутри ЕС должны получить одобрение </w:t>
      </w:r>
      <w:r w:rsidR="00553C56">
        <w:rPr>
          <w:sz w:val="28"/>
          <w:szCs w:val="28"/>
        </w:rPr>
        <w:t>К</w:t>
      </w:r>
      <w:r w:rsidR="00D84352">
        <w:rPr>
          <w:sz w:val="28"/>
          <w:szCs w:val="28"/>
        </w:rPr>
        <w:t>омиссии</w:t>
      </w:r>
      <w:r w:rsidR="00843692" w:rsidRPr="00FE0540">
        <w:rPr>
          <w:sz w:val="28"/>
          <w:szCs w:val="28"/>
        </w:rPr>
        <w:t xml:space="preserve"> для проведения сделки.</w:t>
      </w:r>
      <w:r w:rsidR="001C5FAC">
        <w:rPr>
          <w:rStyle w:val="FootnoteReference"/>
          <w:sz w:val="28"/>
          <w:szCs w:val="28"/>
        </w:rPr>
        <w:footnoteReference w:id="12"/>
      </w:r>
    </w:p>
    <w:p w14:paraId="6BB25456" w14:textId="02538CA3" w:rsidR="00667F74" w:rsidRPr="005534BC" w:rsidRDefault="00EB4267" w:rsidP="005630C9">
      <w:pPr>
        <w:spacing w:line="360" w:lineRule="auto"/>
        <w:ind w:firstLine="720"/>
        <w:jc w:val="both"/>
        <w:rPr>
          <w:sz w:val="28"/>
          <w:szCs w:val="28"/>
        </w:rPr>
      </w:pPr>
      <w:r w:rsidRPr="00830FE3">
        <w:rPr>
          <w:sz w:val="28"/>
          <w:szCs w:val="28"/>
        </w:rPr>
        <w:t>Сделки, подлежащие</w:t>
      </w:r>
      <w:r w:rsidR="00667F74" w:rsidRPr="00830FE3">
        <w:rPr>
          <w:sz w:val="28"/>
          <w:szCs w:val="28"/>
        </w:rPr>
        <w:t xml:space="preserve"> уведомлению</w:t>
      </w:r>
      <w:r w:rsidR="00830FE3" w:rsidRPr="00830FE3">
        <w:rPr>
          <w:sz w:val="28"/>
          <w:szCs w:val="28"/>
        </w:rPr>
        <w:t xml:space="preserve"> рассматриваются комиссией</w:t>
      </w:r>
      <w:r w:rsidR="00667F74" w:rsidRPr="00830FE3">
        <w:rPr>
          <w:sz w:val="28"/>
          <w:szCs w:val="28"/>
        </w:rPr>
        <w:t xml:space="preserve"> в два этапа.</w:t>
      </w:r>
      <w:r w:rsidR="002447B9" w:rsidRPr="00830FE3">
        <w:rPr>
          <w:sz w:val="28"/>
          <w:szCs w:val="28"/>
        </w:rPr>
        <w:t xml:space="preserve"> </w:t>
      </w:r>
      <w:r w:rsidRPr="00830FE3">
        <w:rPr>
          <w:sz w:val="28"/>
          <w:szCs w:val="28"/>
        </w:rPr>
        <w:t>Нео</w:t>
      </w:r>
      <w:r>
        <w:rPr>
          <w:sz w:val="28"/>
          <w:szCs w:val="28"/>
        </w:rPr>
        <w:t>бходимо отметить, что</w:t>
      </w:r>
      <w:r w:rsidR="002447B9">
        <w:rPr>
          <w:sz w:val="28"/>
          <w:szCs w:val="28"/>
        </w:rPr>
        <w:t xml:space="preserve"> сроки рассмотрения сделок строго ограничены </w:t>
      </w:r>
      <w:r w:rsidR="00586C02">
        <w:rPr>
          <w:sz w:val="28"/>
          <w:szCs w:val="28"/>
        </w:rPr>
        <w:t>регламентом</w:t>
      </w:r>
      <w:r w:rsidR="002447B9">
        <w:rPr>
          <w:sz w:val="28"/>
          <w:szCs w:val="28"/>
        </w:rPr>
        <w:t>.</w:t>
      </w:r>
      <w:r w:rsidR="005630C9" w:rsidRPr="00D33587">
        <w:rPr>
          <w:sz w:val="28"/>
          <w:szCs w:val="28"/>
        </w:rPr>
        <w:t xml:space="preserve"> На первом этапе</w:t>
      </w:r>
      <w:r w:rsidR="00627CF4">
        <w:rPr>
          <w:sz w:val="28"/>
          <w:szCs w:val="28"/>
        </w:rPr>
        <w:t>, который длится 25 дней,</w:t>
      </w:r>
      <w:r w:rsidR="005630C9" w:rsidRPr="00D33587">
        <w:rPr>
          <w:sz w:val="28"/>
          <w:szCs w:val="28"/>
        </w:rPr>
        <w:t xml:space="preserve"> исследуется воз</w:t>
      </w:r>
      <w:r w:rsidR="00D33587">
        <w:rPr>
          <w:sz w:val="28"/>
          <w:szCs w:val="28"/>
        </w:rPr>
        <w:t>дей</w:t>
      </w:r>
      <w:r w:rsidR="005630C9" w:rsidRPr="00D33587">
        <w:rPr>
          <w:sz w:val="28"/>
          <w:szCs w:val="28"/>
        </w:rPr>
        <w:t>ствие сделки на конкурентную с</w:t>
      </w:r>
      <w:r w:rsidR="00553C56">
        <w:rPr>
          <w:sz w:val="28"/>
          <w:szCs w:val="28"/>
        </w:rPr>
        <w:t>реду</w:t>
      </w:r>
      <w:r w:rsidR="005630C9" w:rsidRPr="00D33587">
        <w:rPr>
          <w:sz w:val="28"/>
          <w:szCs w:val="28"/>
        </w:rPr>
        <w:t>.</w:t>
      </w:r>
      <w:r w:rsidR="003A4A8F">
        <w:rPr>
          <w:sz w:val="28"/>
          <w:szCs w:val="28"/>
        </w:rPr>
        <w:t xml:space="preserve"> </w:t>
      </w:r>
      <w:r w:rsidR="00627CF4">
        <w:rPr>
          <w:sz w:val="28"/>
          <w:szCs w:val="28"/>
        </w:rPr>
        <w:t>По</w:t>
      </w:r>
      <w:r w:rsidR="00553C56">
        <w:rPr>
          <w:sz w:val="28"/>
          <w:szCs w:val="28"/>
        </w:rPr>
        <w:t xml:space="preserve"> завершении первого этапа</w:t>
      </w:r>
      <w:r w:rsidR="005630C9" w:rsidRPr="00D33587">
        <w:rPr>
          <w:sz w:val="28"/>
          <w:szCs w:val="28"/>
        </w:rPr>
        <w:t xml:space="preserve"> должно быть выяснено, возможна ли сделка без специальных усл</w:t>
      </w:r>
      <w:r w:rsidR="00D33587" w:rsidRPr="00D33587">
        <w:rPr>
          <w:sz w:val="28"/>
          <w:szCs w:val="28"/>
        </w:rPr>
        <w:t>овий или лишь при их соблюдени</w:t>
      </w:r>
      <w:r w:rsidR="00D33587">
        <w:rPr>
          <w:sz w:val="28"/>
          <w:szCs w:val="28"/>
        </w:rPr>
        <w:t>и.</w:t>
      </w:r>
      <w:r w:rsidR="00D33587" w:rsidRPr="00D33587">
        <w:rPr>
          <w:rStyle w:val="FootnoteReference"/>
          <w:sz w:val="28"/>
          <w:szCs w:val="28"/>
        </w:rPr>
        <w:footnoteReference w:id="13"/>
      </w:r>
      <w:r w:rsidR="00667F74">
        <w:rPr>
          <w:sz w:val="28"/>
          <w:szCs w:val="28"/>
        </w:rPr>
        <w:t xml:space="preserve"> Обычно рассмотрение дел </w:t>
      </w:r>
      <w:r w:rsidR="00667F74" w:rsidRPr="00EE55FC">
        <w:rPr>
          <w:sz w:val="28"/>
          <w:szCs w:val="28"/>
        </w:rPr>
        <w:t xml:space="preserve">завершается на первом этапе. </w:t>
      </w:r>
      <w:r w:rsidR="00830FE3" w:rsidRPr="00EE55FC">
        <w:rPr>
          <w:sz w:val="28"/>
          <w:szCs w:val="28"/>
        </w:rPr>
        <w:t>Если</w:t>
      </w:r>
      <w:r w:rsidR="00667F74" w:rsidRPr="00EE55FC">
        <w:rPr>
          <w:sz w:val="28"/>
          <w:szCs w:val="28"/>
        </w:rPr>
        <w:t xml:space="preserve"> же </w:t>
      </w:r>
      <w:r w:rsidR="00EE55FC" w:rsidRPr="00EE55FC">
        <w:rPr>
          <w:sz w:val="28"/>
          <w:szCs w:val="28"/>
        </w:rPr>
        <w:t xml:space="preserve">есть необходимость в более детальном расследовании, </w:t>
      </w:r>
      <w:r w:rsidR="00A22D60">
        <w:rPr>
          <w:sz w:val="28"/>
          <w:szCs w:val="28"/>
        </w:rPr>
        <w:t>Комиссия</w:t>
      </w:r>
      <w:r w:rsidR="00EE55FC" w:rsidRPr="00EE55FC">
        <w:rPr>
          <w:sz w:val="28"/>
          <w:szCs w:val="28"/>
        </w:rPr>
        <w:t xml:space="preserve"> направляет сделку на второй этап рассмотрения</w:t>
      </w:r>
      <w:r w:rsidR="003A4A8F" w:rsidRPr="00EE55FC">
        <w:rPr>
          <w:sz w:val="28"/>
          <w:szCs w:val="28"/>
        </w:rPr>
        <w:t>, который</w:t>
      </w:r>
      <w:r w:rsidR="003A4A8F">
        <w:rPr>
          <w:sz w:val="28"/>
          <w:szCs w:val="28"/>
        </w:rPr>
        <w:t xml:space="preserve"> длится еще 90 дней.</w:t>
      </w:r>
    </w:p>
    <w:p w14:paraId="658E4B14" w14:textId="2D045CBC" w:rsidR="00BF47AE" w:rsidRPr="00FC6D59" w:rsidRDefault="00D562BC" w:rsidP="00FC6D5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E0540">
        <w:rPr>
          <w:sz w:val="28"/>
          <w:szCs w:val="28"/>
        </w:rPr>
        <w:t>Все сде</w:t>
      </w:r>
      <w:r w:rsidR="00B70F70">
        <w:rPr>
          <w:sz w:val="28"/>
          <w:szCs w:val="28"/>
        </w:rPr>
        <w:t>лки слияний и поглощений</w:t>
      </w:r>
      <w:r w:rsidRPr="00FE0540">
        <w:rPr>
          <w:sz w:val="28"/>
          <w:szCs w:val="28"/>
        </w:rPr>
        <w:t>, направленные на рассмотрение</w:t>
      </w:r>
      <w:r w:rsidR="00A22D60">
        <w:rPr>
          <w:sz w:val="28"/>
          <w:szCs w:val="28"/>
        </w:rPr>
        <w:t xml:space="preserve"> Европейской комиссии</w:t>
      </w:r>
      <w:r w:rsidR="00577C83">
        <w:rPr>
          <w:sz w:val="28"/>
          <w:szCs w:val="28"/>
        </w:rPr>
        <w:t>,</w:t>
      </w:r>
      <w:r w:rsidRPr="00FE0540">
        <w:rPr>
          <w:sz w:val="28"/>
          <w:szCs w:val="28"/>
        </w:rPr>
        <w:t xml:space="preserve"> исследуются на предмет нарушения </w:t>
      </w:r>
      <w:r w:rsidR="00627CF4">
        <w:rPr>
          <w:sz w:val="28"/>
          <w:szCs w:val="28"/>
        </w:rPr>
        <w:t>«справедлив</w:t>
      </w:r>
      <w:r w:rsidRPr="00FE0540">
        <w:rPr>
          <w:sz w:val="28"/>
          <w:szCs w:val="28"/>
        </w:rPr>
        <w:t>ой</w:t>
      </w:r>
      <w:r w:rsidR="00627CF4">
        <w:rPr>
          <w:sz w:val="28"/>
          <w:szCs w:val="28"/>
        </w:rPr>
        <w:t>»</w:t>
      </w:r>
      <w:r w:rsidRPr="00FE0540">
        <w:rPr>
          <w:sz w:val="28"/>
          <w:szCs w:val="28"/>
        </w:rPr>
        <w:t xml:space="preserve"> конкуренции.</w:t>
      </w:r>
      <w:r w:rsidR="009B0AB0">
        <w:rPr>
          <w:sz w:val="28"/>
          <w:szCs w:val="28"/>
        </w:rPr>
        <w:t xml:space="preserve"> </w:t>
      </w:r>
      <w:r w:rsidR="00BF47AE">
        <w:rPr>
          <w:sz w:val="28"/>
          <w:szCs w:val="28"/>
        </w:rPr>
        <w:t xml:space="preserve">Отличительной чертой регламента </w:t>
      </w:r>
      <w:r w:rsidR="00D33587" w:rsidRPr="00FE0540">
        <w:rPr>
          <w:sz w:val="28"/>
          <w:szCs w:val="28"/>
        </w:rPr>
        <w:t>№ 139/2004</w:t>
      </w:r>
      <w:r w:rsidR="00BF47AE">
        <w:rPr>
          <w:sz w:val="28"/>
          <w:szCs w:val="28"/>
        </w:rPr>
        <w:t xml:space="preserve"> является</w:t>
      </w:r>
      <w:r w:rsidR="00577C83">
        <w:rPr>
          <w:sz w:val="28"/>
          <w:szCs w:val="28"/>
        </w:rPr>
        <w:t xml:space="preserve"> тот факт, что особая роль отведена</w:t>
      </w:r>
      <w:r w:rsidR="00BF47AE">
        <w:rPr>
          <w:sz w:val="28"/>
          <w:szCs w:val="28"/>
        </w:rPr>
        <w:t xml:space="preserve"> экономическому анализу. Так</w:t>
      </w:r>
      <w:r w:rsidR="00577C83">
        <w:rPr>
          <w:sz w:val="28"/>
          <w:szCs w:val="28"/>
        </w:rPr>
        <w:t>,</w:t>
      </w:r>
      <w:r w:rsidR="00BF47AE">
        <w:rPr>
          <w:sz w:val="28"/>
          <w:szCs w:val="28"/>
        </w:rPr>
        <w:t xml:space="preserve"> в </w:t>
      </w:r>
      <w:r w:rsidR="00BF47AE" w:rsidRPr="00EE55FC">
        <w:rPr>
          <w:sz w:val="28"/>
          <w:szCs w:val="28"/>
        </w:rPr>
        <w:t>содержание регламента внесен специальный тест</w:t>
      </w:r>
      <w:r w:rsidR="00577C83" w:rsidRPr="00EE55FC">
        <w:rPr>
          <w:sz w:val="28"/>
          <w:szCs w:val="28"/>
        </w:rPr>
        <w:t>,</w:t>
      </w:r>
      <w:r w:rsidR="00BF47AE" w:rsidRPr="00EE55FC">
        <w:rPr>
          <w:rFonts w:ascii="Times" w:eastAsiaTheme="minorEastAsia" w:hAnsi="Times" w:cs="Times"/>
          <w:sz w:val="26"/>
          <w:szCs w:val="26"/>
          <w:lang w:eastAsia="en-US"/>
        </w:rPr>
        <w:t xml:space="preserve"> </w:t>
      </w:r>
      <w:r w:rsidR="00BF47AE" w:rsidRPr="00EE55FC">
        <w:rPr>
          <w:sz w:val="28"/>
          <w:szCs w:val="28"/>
        </w:rPr>
        <w:t xml:space="preserve">согласно которому вводится запрет на сделки по слияниям, существенно подрывающие </w:t>
      </w:r>
      <w:r w:rsidR="00EE55FC" w:rsidRPr="00EE55FC">
        <w:rPr>
          <w:sz w:val="28"/>
          <w:szCs w:val="28"/>
        </w:rPr>
        <w:t>«справедливую»</w:t>
      </w:r>
      <w:r w:rsidR="00BF47AE" w:rsidRPr="00EE55FC">
        <w:rPr>
          <w:sz w:val="28"/>
          <w:szCs w:val="28"/>
        </w:rPr>
        <w:t xml:space="preserve"> </w:t>
      </w:r>
      <w:r w:rsidR="00BF47AE" w:rsidRPr="00FC6D59">
        <w:rPr>
          <w:sz w:val="28"/>
          <w:szCs w:val="28"/>
        </w:rPr>
        <w:t xml:space="preserve">конкуренцию. </w:t>
      </w:r>
      <w:r w:rsidR="00FC6D59" w:rsidRPr="00FC6D59">
        <w:rPr>
          <w:sz w:val="28"/>
          <w:szCs w:val="28"/>
        </w:rPr>
        <w:t xml:space="preserve">Для оценки степени монополизации отрасли используется индекс </w:t>
      </w:r>
      <w:proofErr w:type="spellStart"/>
      <w:r w:rsidR="00FC6D59" w:rsidRPr="00FC6D59">
        <w:rPr>
          <w:bCs/>
          <w:sz w:val="28"/>
          <w:szCs w:val="28"/>
        </w:rPr>
        <w:t>Херфиндаля</w:t>
      </w:r>
      <w:proofErr w:type="spellEnd"/>
      <w:r w:rsidR="00FC6D59" w:rsidRPr="00FC6D59">
        <w:rPr>
          <w:bCs/>
          <w:sz w:val="28"/>
          <w:szCs w:val="28"/>
        </w:rPr>
        <w:t xml:space="preserve"> — </w:t>
      </w:r>
      <w:proofErr w:type="spellStart"/>
      <w:r w:rsidR="00FC6D59" w:rsidRPr="00FC6D59">
        <w:rPr>
          <w:bCs/>
          <w:sz w:val="28"/>
          <w:szCs w:val="28"/>
        </w:rPr>
        <w:t>Хиршмана</w:t>
      </w:r>
      <w:proofErr w:type="spellEnd"/>
      <w:r w:rsidR="00FC6D59" w:rsidRPr="00FC6D59">
        <w:rPr>
          <w:bCs/>
          <w:sz w:val="28"/>
          <w:szCs w:val="28"/>
        </w:rPr>
        <w:t>. Он является</w:t>
      </w:r>
      <w:r w:rsidR="00FC6D59">
        <w:rPr>
          <w:bCs/>
          <w:sz w:val="28"/>
          <w:szCs w:val="28"/>
        </w:rPr>
        <w:t xml:space="preserve"> мерой</w:t>
      </w:r>
      <w:r w:rsidR="00FC6D59" w:rsidRPr="00FC6D59">
        <w:rPr>
          <w:bCs/>
          <w:sz w:val="28"/>
          <w:szCs w:val="28"/>
        </w:rPr>
        <w:t xml:space="preserve">  концентрации отрасли и вычисляется как сумма квадрато</w:t>
      </w:r>
      <w:r w:rsidR="00FC6D59">
        <w:rPr>
          <w:bCs/>
          <w:sz w:val="28"/>
          <w:szCs w:val="28"/>
        </w:rPr>
        <w:t>в долей</w:t>
      </w:r>
      <w:r w:rsidR="00FC6D59" w:rsidRPr="00FC6D59">
        <w:rPr>
          <w:bCs/>
          <w:sz w:val="28"/>
          <w:szCs w:val="28"/>
        </w:rPr>
        <w:t xml:space="preserve"> рынка всех фирм данной отрасли.</w:t>
      </w:r>
      <w:r w:rsidR="00FC6D59">
        <w:rPr>
          <w:bCs/>
          <w:sz w:val="28"/>
          <w:szCs w:val="28"/>
        </w:rPr>
        <w:t xml:space="preserve"> Также </w:t>
      </w:r>
      <w:r w:rsidR="00FC6D59">
        <w:rPr>
          <w:sz w:val="28"/>
          <w:szCs w:val="28"/>
        </w:rPr>
        <w:t>о</w:t>
      </w:r>
      <w:r w:rsidR="00354E53" w:rsidRPr="00FC6D59">
        <w:rPr>
          <w:sz w:val="28"/>
          <w:szCs w:val="28"/>
        </w:rPr>
        <w:t>пределены количественные</w:t>
      </w:r>
      <w:r w:rsidR="00354E53">
        <w:rPr>
          <w:sz w:val="28"/>
          <w:szCs w:val="28"/>
        </w:rPr>
        <w:t xml:space="preserve"> параметры </w:t>
      </w:r>
      <w:r w:rsidR="00354E53">
        <w:rPr>
          <w:sz w:val="28"/>
          <w:szCs w:val="28"/>
        </w:rPr>
        <w:lastRenderedPageBreak/>
        <w:t>крупных слияний: совокупный</w:t>
      </w:r>
      <w:r w:rsidR="00147536">
        <w:rPr>
          <w:sz w:val="28"/>
          <w:szCs w:val="28"/>
        </w:rPr>
        <w:t xml:space="preserve"> годовой оборот на мировом рынке</w:t>
      </w:r>
      <w:r w:rsidR="00354E53">
        <w:rPr>
          <w:sz w:val="28"/>
          <w:szCs w:val="28"/>
        </w:rPr>
        <w:t xml:space="preserve"> более 5 млрд. евро или годовой оборот на рынке ЕС – более 250 млн. евро.</w:t>
      </w:r>
      <w:r w:rsidR="00354E53">
        <w:rPr>
          <w:rStyle w:val="FootnoteReference"/>
          <w:sz w:val="28"/>
          <w:szCs w:val="28"/>
        </w:rPr>
        <w:footnoteReference w:id="14"/>
      </w:r>
    </w:p>
    <w:p w14:paraId="2A8C4348" w14:textId="6AA8D4C2" w:rsidR="009B0AB0" w:rsidRDefault="00FC6D59" w:rsidP="00C041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CA3721">
        <w:rPr>
          <w:bCs/>
          <w:sz w:val="28"/>
          <w:szCs w:val="28"/>
        </w:rPr>
        <w:t>еобходимо отметить, что помимо рыночной доли</w:t>
      </w:r>
      <w:r w:rsidR="00627CF4">
        <w:rPr>
          <w:bCs/>
          <w:sz w:val="28"/>
          <w:szCs w:val="28"/>
        </w:rPr>
        <w:t xml:space="preserve"> оценивае</w:t>
      </w:r>
      <w:r w:rsidR="00CA3721">
        <w:rPr>
          <w:bCs/>
          <w:sz w:val="28"/>
          <w:szCs w:val="28"/>
        </w:rPr>
        <w:t xml:space="preserve">тся </w:t>
      </w:r>
      <w:r w:rsidR="00627CF4">
        <w:rPr>
          <w:bCs/>
          <w:sz w:val="28"/>
          <w:szCs w:val="28"/>
        </w:rPr>
        <w:t>множество других факторов</w:t>
      </w:r>
      <w:r w:rsidR="00C6508A">
        <w:rPr>
          <w:bCs/>
          <w:sz w:val="28"/>
          <w:szCs w:val="28"/>
        </w:rPr>
        <w:t>.</w:t>
      </w:r>
      <w:r w:rsidR="00CA3721">
        <w:rPr>
          <w:bCs/>
          <w:sz w:val="28"/>
          <w:szCs w:val="28"/>
        </w:rPr>
        <w:t xml:space="preserve"> Анализируется, насколько различается продукция сливающихся компаний, есть ли на данном конкретном рынке резервные производительные мощности, существуют ли указания на то, что приобретаемая фирма являлась двигателем конкуренции и так далее. Основной целью такого детального исследования является </w:t>
      </w:r>
      <w:r w:rsidR="00560ADE">
        <w:rPr>
          <w:bCs/>
          <w:sz w:val="28"/>
          <w:szCs w:val="28"/>
        </w:rPr>
        <w:t>прогноз</w:t>
      </w:r>
      <w:r w:rsidR="00153B79">
        <w:rPr>
          <w:bCs/>
          <w:sz w:val="28"/>
          <w:szCs w:val="28"/>
        </w:rPr>
        <w:t xml:space="preserve"> последствий сделк</w:t>
      </w:r>
      <w:r w:rsidR="00CA3721">
        <w:rPr>
          <w:bCs/>
          <w:sz w:val="28"/>
          <w:szCs w:val="28"/>
        </w:rPr>
        <w:t>и</w:t>
      </w:r>
      <w:r w:rsidR="00B70F70">
        <w:rPr>
          <w:bCs/>
          <w:sz w:val="28"/>
          <w:szCs w:val="28"/>
        </w:rPr>
        <w:t>, ее воздействия</w:t>
      </w:r>
      <w:r w:rsidR="00C041B2">
        <w:rPr>
          <w:bCs/>
          <w:sz w:val="28"/>
          <w:szCs w:val="28"/>
        </w:rPr>
        <w:t xml:space="preserve"> на конкуренцию:</w:t>
      </w:r>
      <w:r w:rsidR="005B045A">
        <w:rPr>
          <w:bCs/>
          <w:sz w:val="28"/>
          <w:szCs w:val="28"/>
        </w:rPr>
        <w:t xml:space="preserve"> опасность появления</w:t>
      </w:r>
      <w:r w:rsidR="00153B79">
        <w:rPr>
          <w:bCs/>
          <w:sz w:val="28"/>
          <w:szCs w:val="28"/>
        </w:rPr>
        <w:t xml:space="preserve"> </w:t>
      </w:r>
      <w:r w:rsidR="005B045A">
        <w:rPr>
          <w:bCs/>
          <w:sz w:val="28"/>
          <w:szCs w:val="28"/>
        </w:rPr>
        <w:t>барьеров</w:t>
      </w:r>
      <w:r w:rsidR="00C041B2">
        <w:rPr>
          <w:bCs/>
          <w:sz w:val="28"/>
          <w:szCs w:val="28"/>
        </w:rPr>
        <w:t xml:space="preserve"> </w:t>
      </w:r>
      <w:r w:rsidR="00C041B2" w:rsidRPr="00C041B2">
        <w:rPr>
          <w:sz w:val="28"/>
          <w:szCs w:val="28"/>
        </w:rPr>
        <w:t>входа на рынок для новых компаний</w:t>
      </w:r>
      <w:r w:rsidR="00C041B2">
        <w:rPr>
          <w:sz w:val="28"/>
          <w:szCs w:val="28"/>
        </w:rPr>
        <w:t>,</w:t>
      </w:r>
      <w:r w:rsidR="00C041B2">
        <w:rPr>
          <w:bCs/>
          <w:sz w:val="28"/>
          <w:szCs w:val="28"/>
        </w:rPr>
        <w:t xml:space="preserve"> </w:t>
      </w:r>
      <w:r w:rsidR="00153B79">
        <w:rPr>
          <w:bCs/>
          <w:sz w:val="28"/>
          <w:szCs w:val="28"/>
        </w:rPr>
        <w:t>воздействие на цены, разнообразие товаров и услуг и стимул к инновации</w:t>
      </w:r>
      <w:r w:rsidR="00C041B2">
        <w:rPr>
          <w:sz w:val="28"/>
          <w:szCs w:val="28"/>
        </w:rPr>
        <w:t>.</w:t>
      </w:r>
      <w:r w:rsidR="00C6508A">
        <w:rPr>
          <w:bCs/>
          <w:sz w:val="28"/>
          <w:szCs w:val="28"/>
        </w:rPr>
        <w:t xml:space="preserve"> </w:t>
      </w:r>
      <w:r w:rsidR="00C041B2">
        <w:rPr>
          <w:bCs/>
          <w:sz w:val="28"/>
          <w:szCs w:val="28"/>
        </w:rPr>
        <w:t xml:space="preserve">Причем </w:t>
      </w:r>
      <w:r w:rsidR="00C041B2">
        <w:rPr>
          <w:sz w:val="28"/>
          <w:szCs w:val="28"/>
        </w:rPr>
        <w:t>особое внимание уделяется горизонтальным слияниям и поглощениям.</w:t>
      </w:r>
    </w:p>
    <w:p w14:paraId="35659227" w14:textId="23CE3A72" w:rsidR="00604368" w:rsidRPr="005534BC" w:rsidRDefault="00627CF4" w:rsidP="00BF47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562BC" w:rsidRPr="00FE0540">
        <w:rPr>
          <w:sz w:val="28"/>
          <w:szCs w:val="28"/>
        </w:rPr>
        <w:t xml:space="preserve"> если нарушений не обн</w:t>
      </w:r>
      <w:r w:rsidR="005B045A">
        <w:rPr>
          <w:sz w:val="28"/>
          <w:szCs w:val="28"/>
        </w:rPr>
        <w:t>аруживается, сделка одобряется К</w:t>
      </w:r>
      <w:r w:rsidR="00D562BC" w:rsidRPr="00FE0540">
        <w:rPr>
          <w:sz w:val="28"/>
          <w:szCs w:val="28"/>
        </w:rPr>
        <w:t xml:space="preserve">омиссией. </w:t>
      </w:r>
      <w:r w:rsidR="000C7127" w:rsidRPr="00FE0540">
        <w:rPr>
          <w:sz w:val="28"/>
          <w:szCs w:val="28"/>
        </w:rPr>
        <w:t>Если нарушения обнаружены</w:t>
      </w:r>
      <w:r w:rsidR="00BB3D22">
        <w:rPr>
          <w:sz w:val="28"/>
          <w:szCs w:val="28"/>
        </w:rPr>
        <w:t>,</w:t>
      </w:r>
      <w:r w:rsidR="000C7127" w:rsidRPr="00FE0540">
        <w:rPr>
          <w:sz w:val="28"/>
          <w:szCs w:val="28"/>
        </w:rPr>
        <w:t xml:space="preserve"> и компания не берет на себя обязательств по устранению нарушений, сделка должна быть запр</w:t>
      </w:r>
      <w:r w:rsidR="006B325C">
        <w:rPr>
          <w:sz w:val="28"/>
          <w:szCs w:val="28"/>
        </w:rPr>
        <w:t>ещена</w:t>
      </w:r>
      <w:r w:rsidR="000C7127" w:rsidRPr="00FE0540">
        <w:rPr>
          <w:sz w:val="28"/>
          <w:szCs w:val="28"/>
        </w:rPr>
        <w:t xml:space="preserve"> с целью защиты </w:t>
      </w:r>
      <w:r w:rsidR="000C7127" w:rsidRPr="00BF47AE">
        <w:rPr>
          <w:sz w:val="28"/>
          <w:szCs w:val="28"/>
        </w:rPr>
        <w:t>интересов других компаний отрасли и покупателей от завышенных цен  и ограниченного выбора товаров и услуг.</w:t>
      </w:r>
      <w:r w:rsidR="005B045A">
        <w:rPr>
          <w:sz w:val="28"/>
          <w:szCs w:val="28"/>
        </w:rPr>
        <w:t xml:space="preserve"> Сделка</w:t>
      </w:r>
      <w:r w:rsidR="00D26730" w:rsidRPr="00BF47AE">
        <w:rPr>
          <w:sz w:val="28"/>
          <w:szCs w:val="28"/>
        </w:rPr>
        <w:t xml:space="preserve"> оценивается как существенно подрывающая эффективную конкуренцию, если она создает возможность</w:t>
      </w:r>
      <w:r w:rsidR="00BF47AE" w:rsidRPr="00BF47AE">
        <w:rPr>
          <w:sz w:val="28"/>
          <w:szCs w:val="28"/>
        </w:rPr>
        <w:t xml:space="preserve"> дл</w:t>
      </w:r>
      <w:r w:rsidR="006B325C">
        <w:rPr>
          <w:sz w:val="28"/>
          <w:szCs w:val="28"/>
        </w:rPr>
        <w:t>я новой</w:t>
      </w:r>
      <w:r w:rsidR="00BF47AE" w:rsidRPr="00BF47AE">
        <w:rPr>
          <w:sz w:val="28"/>
          <w:szCs w:val="28"/>
        </w:rPr>
        <w:t xml:space="preserve"> фирмы самостоятель</w:t>
      </w:r>
      <w:r w:rsidR="00D26730" w:rsidRPr="00BF47AE">
        <w:rPr>
          <w:sz w:val="28"/>
          <w:szCs w:val="28"/>
        </w:rPr>
        <w:t>но или совместно с другими игроками рынка поднимать цены выше прин</w:t>
      </w:r>
      <w:r w:rsidR="006B325C">
        <w:rPr>
          <w:sz w:val="28"/>
          <w:szCs w:val="28"/>
        </w:rPr>
        <w:t>осящего прибыль уровня, который</w:t>
      </w:r>
      <w:r w:rsidR="00D26730" w:rsidRPr="00BF47AE">
        <w:rPr>
          <w:sz w:val="28"/>
          <w:szCs w:val="28"/>
        </w:rPr>
        <w:t xml:space="preserve"> имел место до сделки.</w:t>
      </w:r>
      <w:r w:rsidR="00604368" w:rsidRPr="00BF47AE">
        <w:rPr>
          <w:sz w:val="28"/>
          <w:szCs w:val="28"/>
        </w:rPr>
        <w:t xml:space="preserve"> Возросшая и подрывающая эффективную конкуренцию рыночная власть также может выражаться в снижении объема выпуска пр</w:t>
      </w:r>
      <w:r w:rsidR="00BB3D22">
        <w:rPr>
          <w:sz w:val="28"/>
          <w:szCs w:val="28"/>
        </w:rPr>
        <w:t>одукции, сокращении продуктовой линей</w:t>
      </w:r>
      <w:r w:rsidR="00604368" w:rsidRPr="00BF47AE">
        <w:rPr>
          <w:sz w:val="28"/>
          <w:szCs w:val="28"/>
        </w:rPr>
        <w:t>ки или ухудшении качества продукции и в снижении инновации.</w:t>
      </w:r>
      <w:r w:rsidR="00A237BC">
        <w:rPr>
          <w:rStyle w:val="FootnoteReference"/>
          <w:sz w:val="28"/>
          <w:szCs w:val="28"/>
        </w:rPr>
        <w:footnoteReference w:id="15"/>
      </w:r>
    </w:p>
    <w:p w14:paraId="324CB6F4" w14:textId="4256C094" w:rsidR="00AB2C3C" w:rsidRPr="00A05C27" w:rsidRDefault="00F3561C" w:rsidP="00A05C27">
      <w:pPr>
        <w:spacing w:line="360" w:lineRule="auto"/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Европейская к</w:t>
      </w:r>
      <w:r w:rsidR="00D07758" w:rsidRPr="00FE0540">
        <w:rPr>
          <w:sz w:val="28"/>
          <w:szCs w:val="28"/>
        </w:rPr>
        <w:t>омиссия може</w:t>
      </w:r>
      <w:r w:rsidR="00A05C27">
        <w:rPr>
          <w:sz w:val="28"/>
          <w:szCs w:val="28"/>
        </w:rPr>
        <w:t>т также одобрить сделку условно. Е</w:t>
      </w:r>
      <w:r w:rsidR="00D07758" w:rsidRPr="00FE0540">
        <w:rPr>
          <w:sz w:val="28"/>
          <w:szCs w:val="28"/>
        </w:rPr>
        <w:t xml:space="preserve">сли </w:t>
      </w:r>
      <w:r w:rsidR="00A05C27">
        <w:rPr>
          <w:sz w:val="28"/>
          <w:szCs w:val="28"/>
        </w:rPr>
        <w:t>комиссия пришла к выводу,</w:t>
      </w:r>
      <w:r w:rsidR="00D07758" w:rsidRPr="00FE0540">
        <w:rPr>
          <w:sz w:val="28"/>
          <w:szCs w:val="28"/>
        </w:rPr>
        <w:t xml:space="preserve"> что </w:t>
      </w:r>
      <w:r w:rsidR="00902259">
        <w:rPr>
          <w:sz w:val="28"/>
          <w:szCs w:val="28"/>
        </w:rPr>
        <w:t>«справедли</w:t>
      </w:r>
      <w:r w:rsidR="00627CF4">
        <w:rPr>
          <w:sz w:val="28"/>
          <w:szCs w:val="28"/>
        </w:rPr>
        <w:t>вая»</w:t>
      </w:r>
      <w:r w:rsidR="00D07758" w:rsidRPr="00FE0540">
        <w:rPr>
          <w:sz w:val="28"/>
          <w:szCs w:val="28"/>
        </w:rPr>
        <w:t xml:space="preserve"> конкуренция ставится под </w:t>
      </w:r>
      <w:r w:rsidR="00D07758" w:rsidRPr="00FE0540">
        <w:rPr>
          <w:sz w:val="28"/>
          <w:szCs w:val="28"/>
        </w:rPr>
        <w:lastRenderedPageBreak/>
        <w:t>угрозу, сливающиеся компании</w:t>
      </w:r>
      <w:r w:rsidR="00A05C27">
        <w:rPr>
          <w:sz w:val="28"/>
          <w:szCs w:val="28"/>
        </w:rPr>
        <w:t xml:space="preserve"> могут взять </w:t>
      </w:r>
      <w:r w:rsidR="00D07758" w:rsidRPr="00FE0540">
        <w:rPr>
          <w:sz w:val="28"/>
          <w:szCs w:val="28"/>
        </w:rPr>
        <w:t>на себя обязательства принять все необходимы</w:t>
      </w:r>
      <w:r w:rsidR="004B224B">
        <w:rPr>
          <w:sz w:val="28"/>
          <w:szCs w:val="28"/>
        </w:rPr>
        <w:t>е меры по устранению негативных</w:t>
      </w:r>
      <w:r w:rsidR="00D07758" w:rsidRPr="00FE0540">
        <w:rPr>
          <w:sz w:val="28"/>
          <w:szCs w:val="28"/>
        </w:rPr>
        <w:t xml:space="preserve"> </w:t>
      </w:r>
      <w:r w:rsidR="004B224B">
        <w:rPr>
          <w:sz w:val="28"/>
          <w:szCs w:val="28"/>
        </w:rPr>
        <w:t>последствий</w:t>
      </w:r>
      <w:r w:rsidR="00D07758" w:rsidRPr="00FE0540">
        <w:rPr>
          <w:sz w:val="28"/>
          <w:szCs w:val="28"/>
        </w:rPr>
        <w:t>.</w:t>
      </w:r>
      <w:r w:rsidR="00E5073B" w:rsidRPr="00FE0540">
        <w:rPr>
          <w:sz w:val="28"/>
          <w:szCs w:val="28"/>
        </w:rPr>
        <w:t xml:space="preserve"> Например, компании могут обязаться пр</w:t>
      </w:r>
      <w:r w:rsidR="00627CF4">
        <w:rPr>
          <w:sz w:val="28"/>
          <w:szCs w:val="28"/>
        </w:rPr>
        <w:t>одать часть совместного бизнеса или</w:t>
      </w:r>
      <w:r w:rsidR="00E5073B" w:rsidRPr="00FE0540">
        <w:rPr>
          <w:sz w:val="28"/>
          <w:szCs w:val="28"/>
        </w:rPr>
        <w:t xml:space="preserve"> дать разрешение другому игроку на рынке н</w:t>
      </w:r>
      <w:r w:rsidR="00A05C27">
        <w:rPr>
          <w:sz w:val="28"/>
          <w:szCs w:val="28"/>
        </w:rPr>
        <w:t>а использование технологий компа</w:t>
      </w:r>
      <w:r w:rsidR="00E5073B" w:rsidRPr="00FE0540">
        <w:rPr>
          <w:sz w:val="28"/>
          <w:szCs w:val="28"/>
        </w:rPr>
        <w:t>нии.</w:t>
      </w:r>
      <w:r w:rsidR="00985BD4" w:rsidRPr="005534BC">
        <w:rPr>
          <w:rFonts w:ascii="Times" w:eastAsiaTheme="minorEastAsia" w:hAnsi="Times" w:cs="Times"/>
          <w:sz w:val="32"/>
          <w:szCs w:val="32"/>
          <w:lang w:eastAsia="en-US"/>
        </w:rPr>
        <w:t xml:space="preserve"> </w:t>
      </w:r>
      <w:r w:rsidR="00A05C27">
        <w:rPr>
          <w:sz w:val="28"/>
          <w:szCs w:val="28"/>
        </w:rPr>
        <w:t xml:space="preserve">Тогда, в случае если </w:t>
      </w:r>
      <w:r w:rsidR="00E5073B" w:rsidRPr="00FE0540">
        <w:rPr>
          <w:sz w:val="28"/>
          <w:szCs w:val="28"/>
        </w:rPr>
        <w:t xml:space="preserve">комиссия удовлетворена </w:t>
      </w:r>
      <w:r w:rsidR="000F4F37" w:rsidRPr="00FE0540">
        <w:rPr>
          <w:sz w:val="28"/>
          <w:szCs w:val="28"/>
        </w:rPr>
        <w:t xml:space="preserve">и считает, что обязательства, принятые на себя компанией, сохранят конкуренцию на </w:t>
      </w:r>
      <w:r w:rsidR="00A22D60">
        <w:rPr>
          <w:sz w:val="28"/>
          <w:szCs w:val="28"/>
        </w:rPr>
        <w:t>рынке,</w:t>
      </w:r>
      <w:r w:rsidR="000F4F37" w:rsidRPr="00FE0540">
        <w:rPr>
          <w:sz w:val="28"/>
          <w:szCs w:val="28"/>
        </w:rPr>
        <w:t xml:space="preserve"> защищая интересы покупателей, она выдает условное разрешение на проведение сделки. Впоследствии комиссия </w:t>
      </w:r>
      <w:r w:rsidR="0090356C" w:rsidRPr="00FE0540">
        <w:rPr>
          <w:sz w:val="28"/>
          <w:szCs w:val="28"/>
        </w:rPr>
        <w:t xml:space="preserve">контролирует, исполняют ли сливающиеся компания обязательства, и имеет право вмешаться, если этого </w:t>
      </w:r>
      <w:r w:rsidR="001D7865" w:rsidRPr="00FE0540">
        <w:rPr>
          <w:sz w:val="28"/>
          <w:szCs w:val="28"/>
        </w:rPr>
        <w:t>н</w:t>
      </w:r>
      <w:r w:rsidR="0090356C" w:rsidRPr="00FE0540">
        <w:rPr>
          <w:sz w:val="28"/>
          <w:szCs w:val="28"/>
        </w:rPr>
        <w:t>е происходит.</w:t>
      </w:r>
      <w:r>
        <w:rPr>
          <w:rStyle w:val="FootnoteReference"/>
          <w:sz w:val="28"/>
          <w:szCs w:val="28"/>
        </w:rPr>
        <w:footnoteReference w:id="16"/>
      </w:r>
    </w:p>
    <w:p w14:paraId="0DA58276" w14:textId="3370EEFC" w:rsidR="00D95015" w:rsidRPr="00A75957" w:rsidRDefault="00D95015" w:rsidP="002251E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Так, нап</w:t>
      </w:r>
      <w:r w:rsidR="00A22D60">
        <w:rPr>
          <w:sz w:val="28"/>
          <w:szCs w:val="28"/>
        </w:rPr>
        <w:t>ример, в сентября 2012 г. Е</w:t>
      </w:r>
      <w:r>
        <w:rPr>
          <w:sz w:val="28"/>
          <w:szCs w:val="28"/>
        </w:rPr>
        <w:t xml:space="preserve">вропейская комиссия одобрила приобретение </w:t>
      </w:r>
      <w:r w:rsidR="000F2635">
        <w:rPr>
          <w:sz w:val="28"/>
          <w:szCs w:val="28"/>
          <w:lang w:val="en-US"/>
        </w:rPr>
        <w:t xml:space="preserve">EMI </w:t>
      </w:r>
      <w:r w:rsidR="000F2635">
        <w:rPr>
          <w:sz w:val="28"/>
          <w:szCs w:val="28"/>
        </w:rPr>
        <w:t xml:space="preserve">компанией </w:t>
      </w:r>
      <w:r w:rsidR="000F2635">
        <w:rPr>
          <w:sz w:val="28"/>
          <w:szCs w:val="28"/>
          <w:lang w:val="en-US"/>
        </w:rPr>
        <w:t xml:space="preserve">Universal Music Group </w:t>
      </w:r>
      <w:r w:rsidR="000F2635">
        <w:rPr>
          <w:sz w:val="28"/>
          <w:szCs w:val="28"/>
        </w:rPr>
        <w:t xml:space="preserve">при строгом соблюдении условий. Компания </w:t>
      </w:r>
      <w:r w:rsidR="000F2635">
        <w:rPr>
          <w:sz w:val="28"/>
          <w:szCs w:val="28"/>
          <w:lang w:val="en-US"/>
        </w:rPr>
        <w:t xml:space="preserve">Universal </w:t>
      </w:r>
      <w:r w:rsidR="000F2635">
        <w:rPr>
          <w:sz w:val="28"/>
          <w:szCs w:val="28"/>
        </w:rPr>
        <w:t>обязалась продать</w:t>
      </w:r>
      <w:r w:rsidR="00ED7F8D">
        <w:rPr>
          <w:sz w:val="28"/>
          <w:szCs w:val="28"/>
        </w:rPr>
        <w:t xml:space="preserve"> значительную часть своих активов, включая</w:t>
      </w:r>
      <w:r w:rsidR="000D2D34">
        <w:rPr>
          <w:sz w:val="28"/>
          <w:szCs w:val="28"/>
        </w:rPr>
        <w:t xml:space="preserve"> ведущие</w:t>
      </w:r>
      <w:r w:rsidR="00ED7F8D">
        <w:rPr>
          <w:sz w:val="28"/>
          <w:szCs w:val="28"/>
        </w:rPr>
        <w:t xml:space="preserve"> музыкальные </w:t>
      </w:r>
      <w:r w:rsidR="000D2D34">
        <w:rPr>
          <w:sz w:val="28"/>
          <w:szCs w:val="28"/>
        </w:rPr>
        <w:t>лейблы, которым принадлежат права на продажу  каталогов известных исполнителей. Слияние двух крупн</w:t>
      </w:r>
      <w:r w:rsidR="002107E6">
        <w:rPr>
          <w:sz w:val="28"/>
          <w:szCs w:val="28"/>
        </w:rPr>
        <w:t xml:space="preserve">ейших звукозаписывающих компаний не могло не привлечь внимание </w:t>
      </w:r>
      <w:r w:rsidR="00A22D60">
        <w:rPr>
          <w:sz w:val="28"/>
          <w:szCs w:val="28"/>
        </w:rPr>
        <w:t>Европейской комиссии. Расследование К</w:t>
      </w:r>
      <w:r w:rsidR="002107E6">
        <w:rPr>
          <w:sz w:val="28"/>
          <w:szCs w:val="28"/>
        </w:rPr>
        <w:t xml:space="preserve">омиссии показало, что данная сделка без продажи доли активов объединившейся компании создаст угрозу конкуренции на территории ЕС. Укрупнение компании </w:t>
      </w:r>
      <w:r w:rsidR="002107E6">
        <w:rPr>
          <w:sz w:val="28"/>
          <w:szCs w:val="28"/>
          <w:lang w:val="en-US"/>
        </w:rPr>
        <w:t xml:space="preserve">Universal  </w:t>
      </w:r>
      <w:r w:rsidR="002107E6">
        <w:rPr>
          <w:sz w:val="28"/>
          <w:szCs w:val="28"/>
        </w:rPr>
        <w:t>позволит</w:t>
      </w:r>
      <w:r w:rsidR="002107E6">
        <w:rPr>
          <w:sz w:val="28"/>
          <w:szCs w:val="28"/>
          <w:lang w:val="en-US"/>
        </w:rPr>
        <w:t xml:space="preserve"> </w:t>
      </w:r>
      <w:r w:rsidR="00E64C79">
        <w:rPr>
          <w:sz w:val="28"/>
          <w:szCs w:val="28"/>
        </w:rPr>
        <w:t xml:space="preserve"> ей повысить цены, а также создаст барьеры для входа на рынок других компаний.</w:t>
      </w:r>
      <w:r w:rsidR="002978B9">
        <w:rPr>
          <w:sz w:val="28"/>
          <w:szCs w:val="28"/>
        </w:rPr>
        <w:t xml:space="preserve"> Тогда</w:t>
      </w:r>
      <w:r w:rsidR="00A75957">
        <w:rPr>
          <w:sz w:val="28"/>
          <w:szCs w:val="28"/>
        </w:rPr>
        <w:t xml:space="preserve"> компания </w:t>
      </w:r>
      <w:r w:rsidR="00A75957">
        <w:rPr>
          <w:sz w:val="28"/>
          <w:szCs w:val="28"/>
          <w:lang w:val="en-US"/>
        </w:rPr>
        <w:t xml:space="preserve">Universal </w:t>
      </w:r>
      <w:r w:rsidR="00A75957" w:rsidRPr="00A75957">
        <w:rPr>
          <w:sz w:val="28"/>
          <w:szCs w:val="28"/>
        </w:rPr>
        <w:t xml:space="preserve">в ответ на возражения комиссии </w:t>
      </w:r>
      <w:r w:rsidR="00A75957">
        <w:rPr>
          <w:sz w:val="28"/>
          <w:szCs w:val="28"/>
        </w:rPr>
        <w:t>приняла решение о продаже з</w:t>
      </w:r>
      <w:r w:rsidR="00FA3DF1">
        <w:rPr>
          <w:sz w:val="28"/>
          <w:szCs w:val="28"/>
        </w:rPr>
        <w:t>начительной части своих активов</w:t>
      </w:r>
      <w:r w:rsidR="002978B9">
        <w:rPr>
          <w:sz w:val="28"/>
          <w:szCs w:val="28"/>
        </w:rPr>
        <w:t>,</w:t>
      </w:r>
      <w:r w:rsidR="00FA3DF1">
        <w:rPr>
          <w:sz w:val="28"/>
          <w:szCs w:val="28"/>
        </w:rPr>
        <w:t xml:space="preserve"> </w:t>
      </w:r>
      <w:r w:rsidR="002978B9">
        <w:rPr>
          <w:sz w:val="28"/>
          <w:szCs w:val="28"/>
        </w:rPr>
        <w:t>причем</w:t>
      </w:r>
      <w:r w:rsidR="00FA3DF1">
        <w:rPr>
          <w:sz w:val="28"/>
          <w:szCs w:val="28"/>
        </w:rPr>
        <w:t xml:space="preserve"> их прибыльность составляет две трети от всей доли прибыли компании на территории ЕС.</w:t>
      </w:r>
      <w:r w:rsidR="006F0825">
        <w:rPr>
          <w:sz w:val="28"/>
          <w:szCs w:val="28"/>
        </w:rPr>
        <w:t xml:space="preserve"> В конце концов комиссия пришла к выводу, что конкуренция на рынке цифровой музыки на территории</w:t>
      </w:r>
      <w:r w:rsidR="006D7934">
        <w:rPr>
          <w:sz w:val="28"/>
          <w:szCs w:val="28"/>
        </w:rPr>
        <w:t xml:space="preserve"> Сообщества</w:t>
      </w:r>
      <w:r w:rsidR="006F0825">
        <w:rPr>
          <w:sz w:val="28"/>
          <w:szCs w:val="28"/>
        </w:rPr>
        <w:t xml:space="preserve"> н</w:t>
      </w:r>
      <w:r w:rsidR="00501E50">
        <w:rPr>
          <w:sz w:val="28"/>
          <w:szCs w:val="28"/>
        </w:rPr>
        <w:t>е ставится под угрозу</w:t>
      </w:r>
      <w:r w:rsidR="002978B9">
        <w:rPr>
          <w:sz w:val="28"/>
          <w:szCs w:val="28"/>
        </w:rPr>
        <w:t xml:space="preserve"> и</w:t>
      </w:r>
      <w:r w:rsidR="006F0825">
        <w:rPr>
          <w:sz w:val="28"/>
          <w:szCs w:val="28"/>
        </w:rPr>
        <w:t xml:space="preserve"> сделка не будет иметь отрицательных последствий для потребителей.</w:t>
      </w:r>
      <w:r w:rsidR="006F0825">
        <w:rPr>
          <w:rStyle w:val="FootnoteReference"/>
          <w:sz w:val="28"/>
          <w:szCs w:val="28"/>
        </w:rPr>
        <w:footnoteReference w:id="17"/>
      </w:r>
    </w:p>
    <w:p w14:paraId="70CC2D1F" w14:textId="4B388A60" w:rsidR="00985BD4" w:rsidRPr="00321686" w:rsidRDefault="00F3561C" w:rsidP="00985BD4">
      <w:pPr>
        <w:spacing w:line="360" w:lineRule="auto"/>
        <w:ind w:firstLine="720"/>
        <w:jc w:val="both"/>
        <w:rPr>
          <w:sz w:val="28"/>
          <w:szCs w:val="28"/>
        </w:rPr>
      </w:pPr>
      <w:r w:rsidRPr="00321686">
        <w:rPr>
          <w:sz w:val="28"/>
          <w:szCs w:val="28"/>
        </w:rPr>
        <w:lastRenderedPageBreak/>
        <w:t>Комиссия</w:t>
      </w:r>
      <w:r w:rsidR="00985BD4" w:rsidRPr="00321686">
        <w:rPr>
          <w:sz w:val="28"/>
          <w:szCs w:val="28"/>
        </w:rPr>
        <w:t xml:space="preserve"> также</w:t>
      </w:r>
      <w:r w:rsidRPr="00321686">
        <w:rPr>
          <w:sz w:val="28"/>
          <w:szCs w:val="28"/>
        </w:rPr>
        <w:t xml:space="preserve"> имеет право</w:t>
      </w:r>
      <w:r w:rsidR="00985BD4" w:rsidRPr="00321686">
        <w:rPr>
          <w:sz w:val="28"/>
          <w:szCs w:val="28"/>
        </w:rPr>
        <w:t xml:space="preserve"> налагать запрет на</w:t>
      </w:r>
      <w:r w:rsidRPr="00321686">
        <w:rPr>
          <w:sz w:val="28"/>
          <w:szCs w:val="28"/>
        </w:rPr>
        <w:t xml:space="preserve"> сделки слияний и поглощений, </w:t>
      </w:r>
      <w:r w:rsidRPr="00A05C27">
        <w:rPr>
          <w:sz w:val="28"/>
          <w:szCs w:val="28"/>
        </w:rPr>
        <w:t>произошедши</w:t>
      </w:r>
      <w:r w:rsidR="00985BD4" w:rsidRPr="00A05C27">
        <w:rPr>
          <w:sz w:val="28"/>
          <w:szCs w:val="28"/>
        </w:rPr>
        <w:t xml:space="preserve">е без </w:t>
      </w:r>
      <w:r w:rsidR="00A05C27" w:rsidRPr="00A05C27">
        <w:rPr>
          <w:sz w:val="28"/>
          <w:szCs w:val="28"/>
        </w:rPr>
        <w:t>уведомления</w:t>
      </w:r>
      <w:r w:rsidR="003E3D66" w:rsidRPr="00A05C27">
        <w:rPr>
          <w:sz w:val="28"/>
          <w:szCs w:val="28"/>
        </w:rPr>
        <w:t xml:space="preserve">, </w:t>
      </w:r>
      <w:r w:rsidR="00985BD4" w:rsidRPr="00A05C27">
        <w:rPr>
          <w:sz w:val="28"/>
          <w:szCs w:val="28"/>
        </w:rPr>
        <w:t xml:space="preserve">и применять </w:t>
      </w:r>
      <w:r w:rsidRPr="00A05C27">
        <w:rPr>
          <w:sz w:val="28"/>
          <w:szCs w:val="28"/>
        </w:rPr>
        <w:t>меры по восстановлению рыночной</w:t>
      </w:r>
      <w:r w:rsidR="00985BD4" w:rsidRPr="00A05C27">
        <w:rPr>
          <w:sz w:val="28"/>
          <w:szCs w:val="28"/>
        </w:rPr>
        <w:t xml:space="preserve"> ситуации, предшествов</w:t>
      </w:r>
      <w:r w:rsidRPr="00A05C27">
        <w:rPr>
          <w:sz w:val="28"/>
          <w:szCs w:val="28"/>
        </w:rPr>
        <w:t>авшей</w:t>
      </w:r>
      <w:r w:rsidR="00985BD4" w:rsidRPr="00A05C27">
        <w:rPr>
          <w:sz w:val="28"/>
          <w:szCs w:val="28"/>
        </w:rPr>
        <w:t xml:space="preserve"> слиянию. В этом случае </w:t>
      </w:r>
      <w:r w:rsidR="00501E50">
        <w:rPr>
          <w:sz w:val="28"/>
          <w:szCs w:val="28"/>
        </w:rPr>
        <w:t>К</w:t>
      </w:r>
      <w:r w:rsidR="003E3D66" w:rsidRPr="00A05C27">
        <w:rPr>
          <w:sz w:val="28"/>
          <w:szCs w:val="28"/>
        </w:rPr>
        <w:t>омиссия</w:t>
      </w:r>
      <w:r w:rsidR="00985BD4" w:rsidRPr="00A05C27">
        <w:rPr>
          <w:sz w:val="28"/>
          <w:szCs w:val="28"/>
        </w:rPr>
        <w:t xml:space="preserve"> </w:t>
      </w:r>
      <w:r w:rsidR="00501E50">
        <w:rPr>
          <w:sz w:val="28"/>
          <w:szCs w:val="28"/>
        </w:rPr>
        <w:t>имеет право наказать предприятия</w:t>
      </w:r>
      <w:r w:rsidR="00985BD4" w:rsidRPr="00A05C27">
        <w:rPr>
          <w:sz w:val="28"/>
          <w:szCs w:val="28"/>
        </w:rPr>
        <w:t xml:space="preserve"> в размере до 10%</w:t>
      </w:r>
      <w:r w:rsidR="003E3D66" w:rsidRPr="00A05C27">
        <w:rPr>
          <w:sz w:val="28"/>
          <w:szCs w:val="28"/>
        </w:rPr>
        <w:t xml:space="preserve"> от</w:t>
      </w:r>
      <w:r w:rsidR="00985BD4" w:rsidRPr="00A05C27">
        <w:rPr>
          <w:sz w:val="28"/>
          <w:szCs w:val="28"/>
        </w:rPr>
        <w:t xml:space="preserve"> их ежегодного оборота.</w:t>
      </w:r>
      <w:r w:rsidR="00321686" w:rsidRPr="00A05C27">
        <w:rPr>
          <w:rStyle w:val="FootnoteReference"/>
          <w:sz w:val="28"/>
          <w:szCs w:val="28"/>
        </w:rPr>
        <w:footnoteReference w:id="18"/>
      </w:r>
    </w:p>
    <w:p w14:paraId="4C1D4253" w14:textId="4E182E72" w:rsidR="00985BD4" w:rsidRPr="003D5FFC" w:rsidRDefault="003D5FFC" w:rsidP="00985BD4">
      <w:pPr>
        <w:spacing w:line="360" w:lineRule="auto"/>
        <w:ind w:firstLine="720"/>
        <w:jc w:val="both"/>
        <w:rPr>
          <w:sz w:val="28"/>
          <w:szCs w:val="28"/>
        </w:rPr>
      </w:pPr>
      <w:r w:rsidRPr="003D5FFC">
        <w:rPr>
          <w:sz w:val="28"/>
          <w:szCs w:val="28"/>
        </w:rPr>
        <w:t>К</w:t>
      </w:r>
      <w:r w:rsidR="00985BD4" w:rsidRPr="003D5FFC">
        <w:rPr>
          <w:sz w:val="28"/>
          <w:szCs w:val="28"/>
        </w:rPr>
        <w:t>оличество заблокированных сделок</w:t>
      </w:r>
      <w:r w:rsidRPr="003D5FFC">
        <w:rPr>
          <w:sz w:val="28"/>
          <w:szCs w:val="28"/>
        </w:rPr>
        <w:t>, как правило,</w:t>
      </w:r>
      <w:r w:rsidR="00985BD4" w:rsidRPr="003D5FFC">
        <w:rPr>
          <w:sz w:val="28"/>
          <w:szCs w:val="28"/>
        </w:rPr>
        <w:t xml:space="preserve"> составляет меньше 1% от</w:t>
      </w:r>
      <w:r w:rsidRPr="003D5FFC">
        <w:rPr>
          <w:sz w:val="28"/>
          <w:szCs w:val="28"/>
        </w:rPr>
        <w:t xml:space="preserve"> числа</w:t>
      </w:r>
      <w:r w:rsidR="00985BD4" w:rsidRPr="003D5FFC">
        <w:rPr>
          <w:sz w:val="28"/>
          <w:szCs w:val="28"/>
        </w:rPr>
        <w:t xml:space="preserve"> всех осу</w:t>
      </w:r>
      <w:r w:rsidR="00F3561C" w:rsidRPr="003D5FFC">
        <w:rPr>
          <w:sz w:val="28"/>
          <w:szCs w:val="28"/>
        </w:rPr>
        <w:t>ществляемых.</w:t>
      </w:r>
      <w:r w:rsidR="006F0825" w:rsidRPr="003D5FFC">
        <w:rPr>
          <w:sz w:val="28"/>
          <w:szCs w:val="28"/>
        </w:rPr>
        <w:t xml:space="preserve"> С 1991 г</w:t>
      </w:r>
      <w:r w:rsidR="00321686" w:rsidRPr="003D5FFC">
        <w:rPr>
          <w:sz w:val="28"/>
          <w:szCs w:val="28"/>
        </w:rPr>
        <w:t>. б</w:t>
      </w:r>
      <w:r w:rsidR="006F0825" w:rsidRPr="003D5FFC">
        <w:rPr>
          <w:sz w:val="28"/>
          <w:szCs w:val="28"/>
        </w:rPr>
        <w:t xml:space="preserve">ыло предоставлено на </w:t>
      </w:r>
      <w:r w:rsidR="00501E50">
        <w:rPr>
          <w:sz w:val="28"/>
          <w:szCs w:val="28"/>
        </w:rPr>
        <w:t>рассмотрение К</w:t>
      </w:r>
      <w:r w:rsidR="006F0825" w:rsidRPr="003D5FFC">
        <w:rPr>
          <w:sz w:val="28"/>
          <w:szCs w:val="28"/>
        </w:rPr>
        <w:t>омиссии 5 2017 уведомлений, из которых лишь</w:t>
      </w:r>
      <w:r w:rsidR="00501E50">
        <w:rPr>
          <w:sz w:val="28"/>
          <w:szCs w:val="28"/>
        </w:rPr>
        <w:t xml:space="preserve"> 21 были заблокированы</w:t>
      </w:r>
      <w:r w:rsidR="006F0825" w:rsidRPr="003D5FFC">
        <w:rPr>
          <w:sz w:val="28"/>
          <w:szCs w:val="28"/>
        </w:rPr>
        <w:t>.</w:t>
      </w:r>
      <w:r w:rsidR="00640A13" w:rsidRPr="003D5FFC">
        <w:rPr>
          <w:rStyle w:val="FootnoteReference"/>
          <w:sz w:val="28"/>
          <w:szCs w:val="28"/>
        </w:rPr>
        <w:footnoteReference w:id="19"/>
      </w:r>
      <w:r w:rsidR="003E3D66" w:rsidRPr="003D5FFC">
        <w:rPr>
          <w:sz w:val="28"/>
          <w:szCs w:val="28"/>
        </w:rPr>
        <w:t xml:space="preserve"> </w:t>
      </w:r>
    </w:p>
    <w:p w14:paraId="6FC1153A" w14:textId="62488FBB" w:rsidR="005028A2" w:rsidRPr="00EA2651" w:rsidRDefault="00574F10" w:rsidP="005028A2">
      <w:pPr>
        <w:spacing w:line="360" w:lineRule="auto"/>
        <w:ind w:firstLine="720"/>
        <w:jc w:val="both"/>
        <w:rPr>
          <w:sz w:val="28"/>
          <w:szCs w:val="28"/>
        </w:rPr>
      </w:pPr>
      <w:r w:rsidRPr="003D5FFC">
        <w:rPr>
          <w:sz w:val="28"/>
          <w:szCs w:val="28"/>
        </w:rPr>
        <w:t xml:space="preserve">В 2008 г. были приняты Руководящие принципы по негоризонтальным слияниям. Этот документ основан </w:t>
      </w:r>
      <w:r w:rsidR="003E3D66" w:rsidRPr="003D5FFC">
        <w:rPr>
          <w:sz w:val="28"/>
          <w:szCs w:val="28"/>
        </w:rPr>
        <w:t>согласно принципам, установленным</w:t>
      </w:r>
      <w:r w:rsidRPr="003D5FFC">
        <w:rPr>
          <w:sz w:val="28"/>
          <w:szCs w:val="28"/>
        </w:rPr>
        <w:t xml:space="preserve"> Регламентом </w:t>
      </w:r>
      <w:r w:rsidR="003E3D66" w:rsidRPr="003D5FFC">
        <w:rPr>
          <w:sz w:val="28"/>
          <w:szCs w:val="28"/>
        </w:rPr>
        <w:t xml:space="preserve">№ </w:t>
      </w:r>
      <w:r w:rsidRPr="003D5FFC">
        <w:rPr>
          <w:sz w:val="28"/>
          <w:szCs w:val="28"/>
        </w:rPr>
        <w:t>139/2004 и Руководящими принципами по горизонтальным слияниям. Данный документ охватывает как вертикальные слияния и поглощения, так и конгломеративные сделки.</w:t>
      </w:r>
      <w:r w:rsidR="003D5FFC">
        <w:rPr>
          <w:rStyle w:val="FootnoteReference"/>
          <w:sz w:val="28"/>
          <w:szCs w:val="28"/>
        </w:rPr>
        <w:footnoteReference w:id="20"/>
      </w:r>
      <w:r w:rsidRPr="003D5FFC">
        <w:rPr>
          <w:sz w:val="28"/>
          <w:szCs w:val="28"/>
        </w:rPr>
        <w:t xml:space="preserve"> </w:t>
      </w:r>
      <w:r w:rsidR="003E3D66" w:rsidRPr="003D5FFC">
        <w:rPr>
          <w:sz w:val="28"/>
          <w:szCs w:val="28"/>
        </w:rPr>
        <w:t>Необходимо отметить, что</w:t>
      </w:r>
      <w:r w:rsidRPr="003D5FFC">
        <w:rPr>
          <w:sz w:val="28"/>
          <w:szCs w:val="28"/>
        </w:rPr>
        <w:t xml:space="preserve"> отрицательное воздействие на конкуренцию </w:t>
      </w:r>
      <w:r w:rsidR="003E3D66" w:rsidRPr="003D5FFC">
        <w:rPr>
          <w:sz w:val="28"/>
          <w:szCs w:val="28"/>
        </w:rPr>
        <w:t>вертикальных</w:t>
      </w:r>
      <w:r w:rsidRPr="003D5FFC">
        <w:rPr>
          <w:sz w:val="28"/>
          <w:szCs w:val="28"/>
        </w:rPr>
        <w:t xml:space="preserve"> сделок </w:t>
      </w:r>
      <w:r w:rsidR="005028A2" w:rsidRPr="003D5FFC">
        <w:rPr>
          <w:sz w:val="28"/>
          <w:szCs w:val="28"/>
        </w:rPr>
        <w:t>значительно</w:t>
      </w:r>
      <w:r w:rsidRPr="003D5FFC">
        <w:rPr>
          <w:sz w:val="28"/>
          <w:szCs w:val="28"/>
        </w:rPr>
        <w:t xml:space="preserve"> ниже</w:t>
      </w:r>
      <w:r w:rsidR="005028A2" w:rsidRPr="003D5FFC">
        <w:rPr>
          <w:sz w:val="28"/>
          <w:szCs w:val="28"/>
        </w:rPr>
        <w:t>, чем</w:t>
      </w:r>
      <w:r w:rsidRPr="003D5FFC">
        <w:rPr>
          <w:sz w:val="28"/>
          <w:szCs w:val="28"/>
        </w:rPr>
        <w:t xml:space="preserve"> горизонтальных.</w:t>
      </w:r>
      <w:r w:rsidR="005028A2" w:rsidRPr="003D5FFC">
        <w:rPr>
          <w:sz w:val="28"/>
          <w:szCs w:val="28"/>
        </w:rPr>
        <w:t xml:space="preserve"> </w:t>
      </w:r>
      <w:r w:rsidR="003E3D66" w:rsidRPr="003D5FFC">
        <w:rPr>
          <w:sz w:val="28"/>
          <w:szCs w:val="28"/>
        </w:rPr>
        <w:t>Напротив, с</w:t>
      </w:r>
      <w:r w:rsidR="005028A2" w:rsidRPr="003D5FFC">
        <w:rPr>
          <w:sz w:val="28"/>
          <w:szCs w:val="28"/>
        </w:rPr>
        <w:t>делки по ве</w:t>
      </w:r>
      <w:r w:rsidR="003E3D66" w:rsidRPr="003D5FFC">
        <w:rPr>
          <w:sz w:val="28"/>
          <w:szCs w:val="28"/>
        </w:rPr>
        <w:t>ртикальным слияниям способны суще</w:t>
      </w:r>
      <w:r w:rsidR="005028A2" w:rsidRPr="003D5FFC">
        <w:rPr>
          <w:sz w:val="28"/>
          <w:szCs w:val="28"/>
        </w:rPr>
        <w:t>ственно повысить эффективность</w:t>
      </w:r>
      <w:r w:rsidR="003E3D66" w:rsidRPr="003D5FFC">
        <w:rPr>
          <w:sz w:val="28"/>
          <w:szCs w:val="28"/>
        </w:rPr>
        <w:t>, так как способствуют решению множества проблем.</w:t>
      </w:r>
      <w:r w:rsidR="005028A2" w:rsidRPr="003D5FFC">
        <w:rPr>
          <w:sz w:val="28"/>
          <w:szCs w:val="28"/>
        </w:rPr>
        <w:t xml:space="preserve"> </w:t>
      </w:r>
      <w:r w:rsidR="003E3D66" w:rsidRPr="003D5FFC">
        <w:rPr>
          <w:sz w:val="28"/>
          <w:szCs w:val="28"/>
        </w:rPr>
        <w:t>Подобные сделки, как отмечало</w:t>
      </w:r>
      <w:r w:rsidR="00EA2651" w:rsidRPr="003D5FFC">
        <w:rPr>
          <w:sz w:val="28"/>
          <w:szCs w:val="28"/>
        </w:rPr>
        <w:t>с</w:t>
      </w:r>
      <w:r w:rsidR="003E3D66" w:rsidRPr="003D5FFC">
        <w:rPr>
          <w:sz w:val="28"/>
          <w:szCs w:val="28"/>
        </w:rPr>
        <w:t>ь в первой главе</w:t>
      </w:r>
      <w:r w:rsidR="00EA2651" w:rsidRPr="003D5FFC">
        <w:rPr>
          <w:sz w:val="28"/>
          <w:szCs w:val="28"/>
        </w:rPr>
        <w:t xml:space="preserve">, ведут к </w:t>
      </w:r>
      <w:r w:rsidR="005028A2" w:rsidRPr="003D5FFC">
        <w:rPr>
          <w:sz w:val="28"/>
          <w:szCs w:val="28"/>
        </w:rPr>
        <w:t>сокр</w:t>
      </w:r>
      <w:r w:rsidR="00EA2651" w:rsidRPr="003D5FFC">
        <w:rPr>
          <w:sz w:val="28"/>
          <w:szCs w:val="28"/>
        </w:rPr>
        <w:t>ащению транз</w:t>
      </w:r>
      <w:r w:rsidR="005028A2" w:rsidRPr="003D5FFC">
        <w:rPr>
          <w:sz w:val="28"/>
          <w:szCs w:val="28"/>
        </w:rPr>
        <w:t>акционных издержек</w:t>
      </w:r>
      <w:r w:rsidR="00EA2651" w:rsidRPr="003D5FFC">
        <w:rPr>
          <w:sz w:val="28"/>
          <w:szCs w:val="28"/>
        </w:rPr>
        <w:t>, решают проблему наценки монополиста</w:t>
      </w:r>
      <w:r w:rsidR="005028A2" w:rsidRPr="003D5FFC">
        <w:rPr>
          <w:sz w:val="28"/>
          <w:szCs w:val="28"/>
        </w:rPr>
        <w:t xml:space="preserve">. </w:t>
      </w:r>
      <w:r w:rsidR="002978B9" w:rsidRPr="003D5FFC">
        <w:rPr>
          <w:sz w:val="28"/>
          <w:szCs w:val="28"/>
        </w:rPr>
        <w:t>Тем не менее</w:t>
      </w:r>
      <w:r w:rsidR="005028A2" w:rsidRPr="003D5FFC">
        <w:rPr>
          <w:sz w:val="28"/>
          <w:szCs w:val="28"/>
        </w:rPr>
        <w:t xml:space="preserve"> </w:t>
      </w:r>
      <w:r w:rsidR="008B3768">
        <w:rPr>
          <w:sz w:val="28"/>
          <w:szCs w:val="28"/>
        </w:rPr>
        <w:t xml:space="preserve">негоризонтальные слияния и </w:t>
      </w:r>
      <w:r w:rsidR="008B3768" w:rsidRPr="008B3768">
        <w:rPr>
          <w:sz w:val="28"/>
          <w:szCs w:val="28"/>
        </w:rPr>
        <w:t>поглощения</w:t>
      </w:r>
      <w:r w:rsidR="005028A2" w:rsidRPr="008B3768">
        <w:rPr>
          <w:sz w:val="28"/>
          <w:szCs w:val="28"/>
        </w:rPr>
        <w:t xml:space="preserve"> должны подлежать тщательному р</w:t>
      </w:r>
      <w:r w:rsidR="00EA2651" w:rsidRPr="008B3768">
        <w:rPr>
          <w:sz w:val="28"/>
          <w:szCs w:val="28"/>
        </w:rPr>
        <w:t>ассмотрению с позиции их воздей</w:t>
      </w:r>
      <w:r w:rsidR="005028A2" w:rsidRPr="008B3768">
        <w:rPr>
          <w:sz w:val="28"/>
          <w:szCs w:val="28"/>
        </w:rPr>
        <w:t>ствия на ко</w:t>
      </w:r>
      <w:r w:rsidR="002978B9" w:rsidRPr="008B3768">
        <w:rPr>
          <w:sz w:val="28"/>
          <w:szCs w:val="28"/>
        </w:rPr>
        <w:t>нкурентную</w:t>
      </w:r>
      <w:r w:rsidR="00501E50">
        <w:rPr>
          <w:sz w:val="28"/>
          <w:szCs w:val="28"/>
        </w:rPr>
        <w:t xml:space="preserve"> среду</w:t>
      </w:r>
      <w:r w:rsidR="002978B9" w:rsidRPr="008B3768">
        <w:rPr>
          <w:sz w:val="28"/>
          <w:szCs w:val="28"/>
        </w:rPr>
        <w:t>, возможность</w:t>
      </w:r>
      <w:r w:rsidR="005028A2" w:rsidRPr="008B3768">
        <w:rPr>
          <w:sz w:val="28"/>
          <w:szCs w:val="28"/>
        </w:rPr>
        <w:t xml:space="preserve"> з</w:t>
      </w:r>
      <w:r w:rsidR="00501E50">
        <w:rPr>
          <w:sz w:val="28"/>
          <w:szCs w:val="28"/>
        </w:rPr>
        <w:t>авоевания</w:t>
      </w:r>
      <w:r w:rsidR="00EA2651" w:rsidRPr="008B3768">
        <w:rPr>
          <w:sz w:val="28"/>
          <w:szCs w:val="28"/>
        </w:rPr>
        <w:t xml:space="preserve"> рыночной</w:t>
      </w:r>
      <w:r w:rsidR="005028A2" w:rsidRPr="008B3768">
        <w:rPr>
          <w:sz w:val="28"/>
          <w:szCs w:val="28"/>
        </w:rPr>
        <w:t xml:space="preserve"> власти</w:t>
      </w:r>
      <w:r w:rsidR="00EA2651" w:rsidRPr="008B3768">
        <w:rPr>
          <w:sz w:val="28"/>
          <w:szCs w:val="28"/>
        </w:rPr>
        <w:t xml:space="preserve"> и занятия новой фирмой</w:t>
      </w:r>
      <w:r w:rsidR="005028A2" w:rsidRPr="008B3768">
        <w:rPr>
          <w:sz w:val="28"/>
          <w:szCs w:val="28"/>
        </w:rPr>
        <w:t xml:space="preserve"> доминирующего положения на рынке.</w:t>
      </w:r>
      <w:r w:rsidR="005028A2" w:rsidRPr="008B3768">
        <w:rPr>
          <w:rStyle w:val="FootnoteReference"/>
          <w:sz w:val="28"/>
          <w:szCs w:val="28"/>
        </w:rPr>
        <w:footnoteReference w:id="21"/>
      </w:r>
    </w:p>
    <w:p w14:paraId="47CD1438" w14:textId="134D00D0" w:rsidR="00BA0B54" w:rsidRDefault="0029017C" w:rsidP="005028A2">
      <w:pPr>
        <w:spacing w:line="360" w:lineRule="auto"/>
        <w:ind w:firstLine="720"/>
        <w:jc w:val="both"/>
        <w:rPr>
          <w:sz w:val="28"/>
          <w:szCs w:val="28"/>
        </w:rPr>
      </w:pPr>
      <w:r w:rsidRPr="008B3768">
        <w:rPr>
          <w:sz w:val="28"/>
          <w:szCs w:val="28"/>
        </w:rPr>
        <w:lastRenderedPageBreak/>
        <w:t>Любое решение Комиссии может быть обжаловано в Суд</w:t>
      </w:r>
      <w:r w:rsidR="00EA2651" w:rsidRPr="008B3768">
        <w:rPr>
          <w:sz w:val="28"/>
          <w:szCs w:val="28"/>
        </w:rPr>
        <w:t>е первой инстанции с возможной апелляцией</w:t>
      </w:r>
      <w:r w:rsidRPr="008B3768">
        <w:rPr>
          <w:sz w:val="28"/>
          <w:szCs w:val="28"/>
        </w:rPr>
        <w:t xml:space="preserve"> к Суду ЕС.</w:t>
      </w:r>
      <w:r w:rsidR="00C44659">
        <w:rPr>
          <w:sz w:val="28"/>
          <w:szCs w:val="28"/>
        </w:rPr>
        <w:t xml:space="preserve"> Суд </w:t>
      </w:r>
      <w:r w:rsidR="00BA0B54">
        <w:rPr>
          <w:sz w:val="28"/>
          <w:szCs w:val="28"/>
        </w:rPr>
        <w:t xml:space="preserve">ЕС исполняет роль арбитра в спорах между </w:t>
      </w:r>
      <w:r w:rsidR="004B0B36">
        <w:rPr>
          <w:sz w:val="28"/>
          <w:szCs w:val="28"/>
        </w:rPr>
        <w:t xml:space="preserve">Сообществом и странами-членами ЕС. Причем его </w:t>
      </w:r>
      <w:r w:rsidR="009F52F7">
        <w:rPr>
          <w:sz w:val="28"/>
          <w:szCs w:val="28"/>
        </w:rPr>
        <w:t>решения не могут быть оспорены и</w:t>
      </w:r>
      <w:r w:rsidR="004B0B36">
        <w:rPr>
          <w:sz w:val="28"/>
          <w:szCs w:val="28"/>
        </w:rPr>
        <w:t xml:space="preserve"> подлежат обязательному исполнению.</w:t>
      </w:r>
      <w:r w:rsidR="004B0B36">
        <w:rPr>
          <w:rStyle w:val="FootnoteReference"/>
          <w:sz w:val="28"/>
          <w:szCs w:val="28"/>
        </w:rPr>
        <w:footnoteReference w:id="22"/>
      </w:r>
    </w:p>
    <w:p w14:paraId="0D6DC452" w14:textId="0439FF41" w:rsidR="0029017C" w:rsidRDefault="0029017C" w:rsidP="005028A2">
      <w:pPr>
        <w:spacing w:line="360" w:lineRule="auto"/>
        <w:ind w:firstLine="720"/>
        <w:jc w:val="both"/>
        <w:rPr>
          <w:sz w:val="28"/>
          <w:szCs w:val="28"/>
        </w:rPr>
      </w:pPr>
      <w:r w:rsidRPr="00EA2651">
        <w:rPr>
          <w:sz w:val="28"/>
          <w:szCs w:val="28"/>
        </w:rPr>
        <w:t>Так</w:t>
      </w:r>
      <w:r w:rsidR="00EA2651" w:rsidRPr="00EA2651">
        <w:rPr>
          <w:sz w:val="28"/>
          <w:szCs w:val="28"/>
        </w:rPr>
        <w:t>,</w:t>
      </w:r>
      <w:r w:rsidRPr="00EA2651">
        <w:rPr>
          <w:sz w:val="28"/>
          <w:szCs w:val="28"/>
        </w:rPr>
        <w:t xml:space="preserve"> в 2006 г. Суд ЕС аннулировал решение комиссии по делу </w:t>
      </w:r>
      <w:r w:rsidRPr="00124EF3">
        <w:rPr>
          <w:sz w:val="28"/>
          <w:szCs w:val="28"/>
        </w:rPr>
        <w:t>компаний Sony и BMG</w:t>
      </w:r>
      <w:r w:rsidR="00A9134D" w:rsidRPr="00124EF3">
        <w:rPr>
          <w:sz w:val="28"/>
          <w:szCs w:val="28"/>
        </w:rPr>
        <w:t xml:space="preserve"> после того, как Европейская ассоциация независимых музыкальных лейблов (IMPALA) обжаловала решение Европейской комиссии,</w:t>
      </w:r>
      <w:r w:rsidR="003223D8" w:rsidRPr="00124EF3">
        <w:rPr>
          <w:sz w:val="28"/>
          <w:szCs w:val="28"/>
        </w:rPr>
        <w:t xml:space="preserve"> </w:t>
      </w:r>
      <w:r w:rsidR="009F52F7">
        <w:rPr>
          <w:sz w:val="28"/>
          <w:szCs w:val="28"/>
        </w:rPr>
        <w:t>объявив, что К</w:t>
      </w:r>
      <w:r w:rsidR="00AA482F" w:rsidRPr="00124EF3">
        <w:rPr>
          <w:sz w:val="28"/>
          <w:szCs w:val="28"/>
        </w:rPr>
        <w:t>омиссия</w:t>
      </w:r>
      <w:r w:rsidR="00AA482F" w:rsidRPr="00EA2651">
        <w:rPr>
          <w:sz w:val="28"/>
          <w:szCs w:val="28"/>
        </w:rPr>
        <w:t xml:space="preserve"> </w:t>
      </w:r>
      <w:r w:rsidR="006871F5" w:rsidRPr="00EA2651">
        <w:rPr>
          <w:sz w:val="28"/>
          <w:szCs w:val="28"/>
        </w:rPr>
        <w:t xml:space="preserve">в недостаточной степени проанализировала последствия слияния Sony и </w:t>
      </w:r>
      <w:proofErr w:type="spellStart"/>
      <w:r w:rsidR="006871F5" w:rsidRPr="00EA2651">
        <w:rPr>
          <w:sz w:val="28"/>
          <w:szCs w:val="28"/>
        </w:rPr>
        <w:t>Bertelsmann</w:t>
      </w:r>
      <w:proofErr w:type="spellEnd"/>
      <w:r w:rsidR="006871F5" w:rsidRPr="00EA2651">
        <w:rPr>
          <w:sz w:val="28"/>
          <w:szCs w:val="28"/>
        </w:rPr>
        <w:t xml:space="preserve"> и </w:t>
      </w:r>
      <w:r w:rsidR="00A9134D" w:rsidRPr="00EA2651">
        <w:rPr>
          <w:sz w:val="28"/>
          <w:szCs w:val="28"/>
        </w:rPr>
        <w:t>что альянс этих компаний нарушает правила свободной конкуренции и затрудняет выход на рынок</w:t>
      </w:r>
      <w:r w:rsidR="00124EF3">
        <w:rPr>
          <w:sz w:val="28"/>
          <w:szCs w:val="28"/>
        </w:rPr>
        <w:t xml:space="preserve"> для других игроков</w:t>
      </w:r>
      <w:r w:rsidR="00A9134D" w:rsidRPr="00EA2651">
        <w:rPr>
          <w:sz w:val="28"/>
          <w:szCs w:val="28"/>
        </w:rPr>
        <w:t xml:space="preserve"> отрасли.</w:t>
      </w:r>
    </w:p>
    <w:p w14:paraId="479499E0" w14:textId="33CC0765" w:rsidR="006D7934" w:rsidRPr="00FC6D59" w:rsidRDefault="00FC6D59" w:rsidP="008E5E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342515" w:rsidRPr="00FC6D59">
        <w:rPr>
          <w:sz w:val="28"/>
          <w:szCs w:val="28"/>
        </w:rPr>
        <w:t xml:space="preserve">, необходимо отметить, что в рамках Европейского Союза был создан эффективный и жестко регламентированный инструмент, регулирующий сделки слияний и поглощений. </w:t>
      </w:r>
      <w:r w:rsidR="00EA6064">
        <w:rPr>
          <w:sz w:val="28"/>
          <w:szCs w:val="28"/>
        </w:rPr>
        <w:t>Он</w:t>
      </w:r>
      <w:r w:rsidR="00023F98">
        <w:rPr>
          <w:sz w:val="28"/>
          <w:szCs w:val="28"/>
        </w:rPr>
        <w:t xml:space="preserve"> обеспечивает прозрачность</w:t>
      </w:r>
      <w:r w:rsidR="000F15C3">
        <w:rPr>
          <w:sz w:val="28"/>
          <w:szCs w:val="28"/>
        </w:rPr>
        <w:t xml:space="preserve"> как системы контроля за слияниями и поглощениями, так и бизнеса.</w:t>
      </w:r>
      <w:r w:rsidR="00A96967">
        <w:rPr>
          <w:sz w:val="28"/>
          <w:szCs w:val="28"/>
        </w:rPr>
        <w:t xml:space="preserve"> Кроме того, н</w:t>
      </w:r>
      <w:r w:rsidR="00EA6064">
        <w:rPr>
          <w:sz w:val="28"/>
          <w:szCs w:val="28"/>
        </w:rPr>
        <w:t>аднациональный характер</w:t>
      </w:r>
      <w:r w:rsidR="00A96967">
        <w:rPr>
          <w:sz w:val="28"/>
          <w:szCs w:val="28"/>
        </w:rPr>
        <w:t xml:space="preserve"> конкурентного права ЕС</w:t>
      </w:r>
      <w:r w:rsidR="00EA6064">
        <w:rPr>
          <w:sz w:val="28"/>
          <w:szCs w:val="28"/>
        </w:rPr>
        <w:t xml:space="preserve"> </w:t>
      </w:r>
      <w:r w:rsidR="008C1A03">
        <w:rPr>
          <w:sz w:val="28"/>
          <w:szCs w:val="28"/>
        </w:rPr>
        <w:t xml:space="preserve">гарантирует его </w:t>
      </w:r>
      <w:r w:rsidR="008C1A03" w:rsidRPr="008072F3">
        <w:rPr>
          <w:sz w:val="28"/>
          <w:szCs w:val="28"/>
        </w:rPr>
        <w:t>единообразное</w:t>
      </w:r>
      <w:r w:rsidR="008C1A03">
        <w:rPr>
          <w:sz w:val="28"/>
          <w:szCs w:val="28"/>
        </w:rPr>
        <w:t xml:space="preserve"> применение на всей территории С</w:t>
      </w:r>
      <w:r w:rsidR="008C1A03" w:rsidRPr="008072F3">
        <w:rPr>
          <w:sz w:val="28"/>
          <w:szCs w:val="28"/>
        </w:rPr>
        <w:t>ообществ</w:t>
      </w:r>
      <w:r w:rsidR="008C1A03">
        <w:rPr>
          <w:sz w:val="28"/>
          <w:szCs w:val="28"/>
        </w:rPr>
        <w:t xml:space="preserve">а и </w:t>
      </w:r>
      <w:r w:rsidR="00EA6064">
        <w:rPr>
          <w:sz w:val="28"/>
          <w:szCs w:val="28"/>
        </w:rPr>
        <w:t>способствует независимости процесса принятия решений.</w:t>
      </w:r>
      <w:r w:rsidR="008C1A03">
        <w:rPr>
          <w:sz w:val="28"/>
          <w:szCs w:val="28"/>
        </w:rPr>
        <w:t xml:space="preserve"> В конечном счете</w:t>
      </w:r>
      <w:r w:rsidR="000F15C3">
        <w:rPr>
          <w:sz w:val="28"/>
          <w:szCs w:val="28"/>
        </w:rPr>
        <w:t xml:space="preserve"> </w:t>
      </w:r>
      <w:r w:rsidR="008B67EC">
        <w:rPr>
          <w:sz w:val="28"/>
          <w:szCs w:val="28"/>
        </w:rPr>
        <w:t>Комиссии удается поддерживать «справедливую» конкуренцию и предотвращать появление монополий</w:t>
      </w:r>
      <w:r w:rsidR="008C1A03">
        <w:rPr>
          <w:sz w:val="28"/>
          <w:szCs w:val="28"/>
        </w:rPr>
        <w:t>, блокируя</w:t>
      </w:r>
      <w:r w:rsidR="006D7934">
        <w:rPr>
          <w:sz w:val="28"/>
          <w:szCs w:val="28"/>
        </w:rPr>
        <w:t xml:space="preserve"> очень небольшой процент от числа всех сделок</w:t>
      </w:r>
      <w:r w:rsidR="008C1A03">
        <w:rPr>
          <w:sz w:val="28"/>
          <w:szCs w:val="28"/>
        </w:rPr>
        <w:t>.</w:t>
      </w:r>
      <w:r w:rsidR="008B67EC">
        <w:rPr>
          <w:sz w:val="28"/>
          <w:szCs w:val="28"/>
        </w:rPr>
        <w:t xml:space="preserve"> </w:t>
      </w:r>
    </w:p>
    <w:p w14:paraId="6D81ADEF" w14:textId="77777777" w:rsidR="008F3E65" w:rsidRDefault="008F3E65" w:rsidP="008E5E75">
      <w:pPr>
        <w:jc w:val="both"/>
        <w:rPr>
          <w:sz w:val="28"/>
          <w:szCs w:val="28"/>
        </w:rPr>
      </w:pPr>
    </w:p>
    <w:p w14:paraId="5F33760E" w14:textId="51EF80E8" w:rsidR="00971D8B" w:rsidRPr="005541F2" w:rsidRDefault="00EF6BA3" w:rsidP="008E5E75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EF6BA3">
        <w:rPr>
          <w:b/>
          <w:sz w:val="32"/>
          <w:szCs w:val="32"/>
        </w:rPr>
        <w:t xml:space="preserve">2.2. </w:t>
      </w:r>
      <w:r w:rsidR="005541F2" w:rsidRPr="005541F2">
        <w:rPr>
          <w:b/>
          <w:sz w:val="32"/>
          <w:szCs w:val="32"/>
        </w:rPr>
        <w:t xml:space="preserve">Российские компании на </w:t>
      </w:r>
      <w:r w:rsidR="006F3F43">
        <w:rPr>
          <w:b/>
          <w:sz w:val="32"/>
          <w:szCs w:val="32"/>
        </w:rPr>
        <w:t>рынке слияний и поглощений в ЕС</w:t>
      </w:r>
    </w:p>
    <w:p w14:paraId="706F2346" w14:textId="77777777" w:rsidR="00756AB8" w:rsidRDefault="00756AB8" w:rsidP="008E5E75">
      <w:pPr>
        <w:ind w:firstLine="198"/>
        <w:jc w:val="both"/>
        <w:rPr>
          <w:b/>
          <w:sz w:val="32"/>
          <w:szCs w:val="32"/>
          <w:u w:val="single"/>
        </w:rPr>
      </w:pPr>
    </w:p>
    <w:p w14:paraId="1E5045FB" w14:textId="43EA4BCC" w:rsidR="00B44FA5" w:rsidRPr="00C44684" w:rsidRDefault="00B35742" w:rsidP="008E5E75">
      <w:pPr>
        <w:spacing w:line="360" w:lineRule="auto"/>
        <w:ind w:firstLine="19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Европейская комиссия утверждает, чт</w:t>
      </w:r>
      <w:r w:rsidR="00C44684">
        <w:rPr>
          <w:sz w:val="28"/>
          <w:szCs w:val="28"/>
        </w:rPr>
        <w:t>о принимает решения непредвзято</w:t>
      </w:r>
      <w:r w:rsidR="00332D20">
        <w:rPr>
          <w:sz w:val="28"/>
          <w:szCs w:val="28"/>
        </w:rPr>
        <w:t xml:space="preserve"> и объективна </w:t>
      </w:r>
      <w:r w:rsidR="00124EF3">
        <w:rPr>
          <w:sz w:val="28"/>
          <w:szCs w:val="28"/>
        </w:rPr>
        <w:t xml:space="preserve">по </w:t>
      </w:r>
      <w:r w:rsidR="00C44684">
        <w:rPr>
          <w:sz w:val="28"/>
          <w:szCs w:val="28"/>
        </w:rPr>
        <w:t>отношению  ко всем компаниям не</w:t>
      </w:r>
      <w:r w:rsidR="00124EF3">
        <w:rPr>
          <w:sz w:val="28"/>
          <w:szCs w:val="28"/>
        </w:rPr>
        <w:t>зависимо от страны</w:t>
      </w:r>
      <w:r w:rsidR="00560ADE">
        <w:rPr>
          <w:sz w:val="28"/>
          <w:szCs w:val="28"/>
        </w:rPr>
        <w:t xml:space="preserve"> базирования. Однако</w:t>
      </w:r>
      <w:r w:rsidR="00332D20">
        <w:rPr>
          <w:sz w:val="28"/>
          <w:szCs w:val="28"/>
        </w:rPr>
        <w:t xml:space="preserve"> ряд отечественных исследовате</w:t>
      </w:r>
      <w:r w:rsidR="00423851">
        <w:rPr>
          <w:sz w:val="28"/>
          <w:szCs w:val="28"/>
        </w:rPr>
        <w:t xml:space="preserve">лей оспаривают </w:t>
      </w:r>
      <w:r w:rsidR="00423851">
        <w:rPr>
          <w:sz w:val="28"/>
          <w:szCs w:val="28"/>
        </w:rPr>
        <w:lastRenderedPageBreak/>
        <w:t xml:space="preserve">это утверждение. </w:t>
      </w:r>
      <w:r w:rsidR="00423851">
        <w:rPr>
          <w:rFonts w:eastAsiaTheme="minorEastAsia"/>
          <w:iCs/>
          <w:sz w:val="28"/>
          <w:szCs w:val="28"/>
          <w:lang w:eastAsia="en-US"/>
        </w:rPr>
        <w:t>Так, к</w:t>
      </w:r>
      <w:r w:rsidR="00061DCB" w:rsidRPr="00FE0540">
        <w:rPr>
          <w:rFonts w:eastAsiaTheme="minorEastAsia"/>
          <w:iCs/>
          <w:sz w:val="28"/>
          <w:szCs w:val="28"/>
          <w:lang w:eastAsia="en-US"/>
        </w:rPr>
        <w:t xml:space="preserve">рупнейшие российские компании </w:t>
      </w:r>
      <w:r w:rsidR="00FC6983">
        <w:rPr>
          <w:rFonts w:eastAsiaTheme="minorEastAsia"/>
          <w:iCs/>
          <w:sz w:val="28"/>
          <w:szCs w:val="28"/>
          <w:lang w:eastAsia="en-US"/>
        </w:rPr>
        <w:t>ведут</w:t>
      </w:r>
      <w:r w:rsidR="00061DCB" w:rsidRPr="00FE0540">
        <w:rPr>
          <w:rFonts w:eastAsiaTheme="minorEastAsia"/>
          <w:iCs/>
          <w:sz w:val="28"/>
          <w:szCs w:val="28"/>
          <w:lang w:eastAsia="en-US"/>
        </w:rPr>
        <w:t xml:space="preserve"> борьбу</w:t>
      </w:r>
      <w:r w:rsidR="009F52F7">
        <w:rPr>
          <w:rFonts w:eastAsiaTheme="minorEastAsia"/>
          <w:iCs/>
          <w:sz w:val="28"/>
          <w:szCs w:val="28"/>
          <w:lang w:eastAsia="en-US"/>
        </w:rPr>
        <w:t xml:space="preserve"> за контроль над</w:t>
      </w:r>
      <w:r w:rsidR="00061DCB" w:rsidRPr="00FE0540">
        <w:rPr>
          <w:rFonts w:eastAsiaTheme="minorEastAsia"/>
          <w:iCs/>
          <w:sz w:val="28"/>
          <w:szCs w:val="28"/>
          <w:lang w:eastAsia="en-US"/>
        </w:rPr>
        <w:t xml:space="preserve"> активами в энергетике, металлургии, связи и транспорте Европы. Однако власти Евросоюза не спешат </w:t>
      </w:r>
      <w:r w:rsidR="00FC6983">
        <w:rPr>
          <w:rFonts w:eastAsiaTheme="minorEastAsia"/>
          <w:iCs/>
          <w:sz w:val="28"/>
          <w:szCs w:val="28"/>
          <w:lang w:eastAsia="en-US"/>
        </w:rPr>
        <w:t>открывать</w:t>
      </w:r>
      <w:r w:rsidR="00061DCB" w:rsidRPr="00FE0540">
        <w:rPr>
          <w:rFonts w:eastAsiaTheme="minorEastAsia"/>
          <w:iCs/>
          <w:sz w:val="28"/>
          <w:szCs w:val="28"/>
          <w:lang w:eastAsia="en-US"/>
        </w:rPr>
        <w:t xml:space="preserve"> свое экономическое простран</w:t>
      </w:r>
      <w:r w:rsidR="00124EF3">
        <w:rPr>
          <w:rFonts w:eastAsiaTheme="minorEastAsia"/>
          <w:iCs/>
          <w:sz w:val="28"/>
          <w:szCs w:val="28"/>
          <w:lang w:eastAsia="en-US"/>
        </w:rPr>
        <w:t xml:space="preserve">ство для российских инвесторов. </w:t>
      </w:r>
      <w:r w:rsidR="00423851">
        <w:rPr>
          <w:rFonts w:eastAsiaTheme="minorEastAsia"/>
          <w:iCs/>
          <w:sz w:val="28"/>
          <w:szCs w:val="28"/>
          <w:lang w:eastAsia="en-US"/>
        </w:rPr>
        <w:t>Это связано с различными факторами, среди которых важную роль играют политические риски, низкая прозрачность российского бизнеса, несовершенство корпоративного управления, пренебрежение вопросами экологической безопасности.</w:t>
      </w:r>
      <w:r w:rsidR="00B44FA5">
        <w:rPr>
          <w:rFonts w:eastAsiaTheme="minorEastAsia"/>
          <w:iCs/>
          <w:sz w:val="28"/>
          <w:szCs w:val="28"/>
          <w:lang w:eastAsia="en-US"/>
        </w:rPr>
        <w:t xml:space="preserve"> </w:t>
      </w:r>
      <w:r w:rsidR="00B44FA5">
        <w:rPr>
          <w:rFonts w:eastAsiaTheme="minorEastAsia"/>
          <w:sz w:val="28"/>
          <w:szCs w:val="28"/>
          <w:lang w:eastAsia="en-US"/>
        </w:rPr>
        <w:t>Европа неохотно пускает  российских инвесторов в отдельные сектора, среди которых в первую очередь фигурирует топливно-энергетический комплекс, который связан с политической власть в России.</w:t>
      </w:r>
      <w:r w:rsidR="00023EFF">
        <w:rPr>
          <w:rStyle w:val="FootnoteReference"/>
          <w:rFonts w:eastAsiaTheme="minorEastAsia"/>
          <w:sz w:val="28"/>
          <w:szCs w:val="28"/>
          <w:lang w:eastAsia="en-US"/>
        </w:rPr>
        <w:footnoteReference w:id="23"/>
      </w:r>
      <w:r w:rsidR="00B44FA5">
        <w:rPr>
          <w:rFonts w:eastAsiaTheme="minorEastAsia"/>
          <w:sz w:val="28"/>
          <w:szCs w:val="28"/>
          <w:lang w:eastAsia="en-US"/>
        </w:rPr>
        <w:t xml:space="preserve"> </w:t>
      </w:r>
    </w:p>
    <w:p w14:paraId="186F6829" w14:textId="12991FCE" w:rsidR="004471B5" w:rsidRPr="00B44FA5" w:rsidRDefault="00B44FA5" w:rsidP="00B44F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 xml:space="preserve">Так, в </w:t>
      </w:r>
      <w:r w:rsidR="004471B5">
        <w:rPr>
          <w:rFonts w:eastAsiaTheme="minorEastAsia"/>
          <w:sz w:val="28"/>
          <w:szCs w:val="28"/>
          <w:lang w:eastAsia="en-US"/>
        </w:rPr>
        <w:t>2008 г. Европарламент принял «Третий энергетический пакет»</w:t>
      </w:r>
      <w:r w:rsidR="003777F9">
        <w:rPr>
          <w:rFonts w:eastAsiaTheme="minorEastAsia"/>
          <w:sz w:val="28"/>
          <w:szCs w:val="28"/>
          <w:lang w:eastAsia="en-US"/>
        </w:rPr>
        <w:t>.</w:t>
      </w:r>
      <w:r w:rsidR="004471B5">
        <w:rPr>
          <w:rFonts w:eastAsiaTheme="minorEastAsia"/>
          <w:sz w:val="28"/>
          <w:szCs w:val="28"/>
          <w:lang w:eastAsia="en-US"/>
        </w:rPr>
        <w:t xml:space="preserve"> </w:t>
      </w:r>
      <w:r w:rsidR="00264E2B">
        <w:rPr>
          <w:rFonts w:eastAsiaTheme="minorEastAsia"/>
          <w:sz w:val="28"/>
          <w:szCs w:val="28"/>
          <w:lang w:eastAsia="en-US"/>
        </w:rPr>
        <w:t>«</w:t>
      </w:r>
      <w:r w:rsidR="004471B5" w:rsidRPr="004471B5">
        <w:rPr>
          <w:rFonts w:eastAsiaTheme="minorEastAsia"/>
          <w:sz w:val="28"/>
          <w:szCs w:val="28"/>
          <w:lang w:eastAsia="en-US"/>
        </w:rPr>
        <w:t>Третий энергетический пакет</w:t>
      </w:r>
      <w:r w:rsidR="00264E2B">
        <w:rPr>
          <w:rFonts w:eastAsiaTheme="minorEastAsia"/>
          <w:sz w:val="28"/>
          <w:szCs w:val="28"/>
          <w:lang w:eastAsia="en-US"/>
        </w:rPr>
        <w:t>»</w:t>
      </w:r>
      <w:r w:rsidR="004471B5" w:rsidRPr="004471B5">
        <w:rPr>
          <w:rFonts w:eastAsiaTheme="minorEastAsia"/>
          <w:sz w:val="28"/>
          <w:szCs w:val="28"/>
          <w:lang w:eastAsia="en-US"/>
        </w:rPr>
        <w:t xml:space="preserve"> – </w:t>
      </w:r>
      <w:r w:rsidR="00FE59FE">
        <w:rPr>
          <w:rFonts w:eastAsiaTheme="minorEastAsia"/>
          <w:sz w:val="28"/>
          <w:szCs w:val="28"/>
          <w:lang w:eastAsia="en-US"/>
        </w:rPr>
        <w:t xml:space="preserve">это </w:t>
      </w:r>
      <w:r w:rsidR="004471B5" w:rsidRPr="004471B5">
        <w:rPr>
          <w:rFonts w:eastAsiaTheme="minorEastAsia"/>
          <w:sz w:val="28"/>
          <w:szCs w:val="28"/>
          <w:lang w:eastAsia="en-US"/>
        </w:rPr>
        <w:t>законопроект Евро</w:t>
      </w:r>
      <w:r w:rsidR="009F52F7">
        <w:rPr>
          <w:rFonts w:eastAsiaTheme="minorEastAsia"/>
          <w:sz w:val="28"/>
          <w:szCs w:val="28"/>
          <w:lang w:eastAsia="en-US"/>
        </w:rPr>
        <w:t xml:space="preserve">пейской </w:t>
      </w:r>
      <w:r w:rsidR="004471B5" w:rsidRPr="004471B5">
        <w:rPr>
          <w:rFonts w:eastAsiaTheme="minorEastAsia"/>
          <w:sz w:val="28"/>
          <w:szCs w:val="28"/>
          <w:lang w:eastAsia="en-US"/>
        </w:rPr>
        <w:t>комиссии, направлен</w:t>
      </w:r>
      <w:r w:rsidR="00FE59FE">
        <w:rPr>
          <w:rFonts w:eastAsiaTheme="minorEastAsia"/>
          <w:sz w:val="28"/>
          <w:szCs w:val="28"/>
          <w:lang w:eastAsia="en-US"/>
        </w:rPr>
        <w:t xml:space="preserve">ный на построение единого </w:t>
      </w:r>
      <w:r w:rsidR="004471B5" w:rsidRPr="004471B5">
        <w:rPr>
          <w:rFonts w:eastAsiaTheme="minorEastAsia"/>
          <w:sz w:val="28"/>
          <w:szCs w:val="28"/>
          <w:lang w:eastAsia="en-US"/>
        </w:rPr>
        <w:t xml:space="preserve">энергетического и газового рынка ЕС. </w:t>
      </w:r>
      <w:r w:rsidR="004471B5" w:rsidRPr="00C44684">
        <w:rPr>
          <w:rFonts w:eastAsiaTheme="minorEastAsia"/>
          <w:sz w:val="28"/>
          <w:szCs w:val="28"/>
          <w:lang w:eastAsia="en-US"/>
        </w:rPr>
        <w:t xml:space="preserve">Основные меры, </w:t>
      </w:r>
      <w:r w:rsidR="009F52F7">
        <w:rPr>
          <w:rFonts w:eastAsiaTheme="minorEastAsia"/>
          <w:sz w:val="28"/>
          <w:szCs w:val="28"/>
          <w:lang w:eastAsia="en-US"/>
        </w:rPr>
        <w:t>которые планируются</w:t>
      </w:r>
      <w:r w:rsidR="004471B5" w:rsidRPr="004471B5">
        <w:rPr>
          <w:rFonts w:eastAsiaTheme="minorEastAsia"/>
          <w:sz w:val="28"/>
          <w:szCs w:val="28"/>
          <w:lang w:eastAsia="en-US"/>
        </w:rPr>
        <w:t xml:space="preserve"> в </w:t>
      </w:r>
      <w:r w:rsidR="00C43FA1">
        <w:rPr>
          <w:rFonts w:eastAsiaTheme="minorEastAsia"/>
          <w:sz w:val="28"/>
          <w:szCs w:val="28"/>
          <w:lang w:eastAsia="en-US"/>
        </w:rPr>
        <w:t>рамках законопроекта</w:t>
      </w:r>
      <w:r w:rsidR="00FE59FE">
        <w:rPr>
          <w:rFonts w:eastAsiaTheme="minorEastAsia"/>
          <w:sz w:val="28"/>
          <w:szCs w:val="28"/>
          <w:lang w:eastAsia="en-US"/>
        </w:rPr>
        <w:t xml:space="preserve">, включают </w:t>
      </w:r>
      <w:r w:rsidR="009F52F7">
        <w:rPr>
          <w:rFonts w:eastAsiaTheme="minorEastAsia"/>
          <w:sz w:val="28"/>
          <w:szCs w:val="28"/>
          <w:lang w:eastAsia="en-US"/>
        </w:rPr>
        <w:t xml:space="preserve">в себя </w:t>
      </w:r>
      <w:r w:rsidR="004471B5" w:rsidRPr="004471B5">
        <w:rPr>
          <w:rFonts w:eastAsiaTheme="minorEastAsia"/>
          <w:sz w:val="28"/>
          <w:szCs w:val="28"/>
          <w:lang w:eastAsia="en-US"/>
        </w:rPr>
        <w:t>разделение вертикально интегрированных энергетических компаний</w:t>
      </w:r>
      <w:r w:rsidR="00C43FA1">
        <w:rPr>
          <w:rFonts w:eastAsiaTheme="minorEastAsia"/>
          <w:sz w:val="28"/>
          <w:szCs w:val="28"/>
          <w:lang w:eastAsia="en-US"/>
        </w:rPr>
        <w:t>, то есть отделение производящих и добывающих мощностей от транспортных сетей</w:t>
      </w:r>
      <w:r w:rsidR="004471B5" w:rsidRPr="004471B5">
        <w:rPr>
          <w:rFonts w:eastAsiaTheme="minorEastAsia"/>
          <w:sz w:val="28"/>
          <w:szCs w:val="28"/>
          <w:lang w:eastAsia="en-US"/>
        </w:rPr>
        <w:t>.</w:t>
      </w:r>
      <w:r w:rsidR="00C43FA1">
        <w:rPr>
          <w:rStyle w:val="FootnoteReference"/>
          <w:rFonts w:eastAsiaTheme="minorEastAsia"/>
          <w:sz w:val="28"/>
          <w:szCs w:val="28"/>
          <w:lang w:eastAsia="en-US"/>
        </w:rPr>
        <w:footnoteReference w:id="24"/>
      </w:r>
      <w:r w:rsidR="00B349BF">
        <w:rPr>
          <w:rFonts w:eastAsiaTheme="minorEastAsia"/>
          <w:sz w:val="28"/>
          <w:szCs w:val="28"/>
          <w:lang w:eastAsia="en-US"/>
        </w:rPr>
        <w:t xml:space="preserve"> Европа зависима от своих поставщиков энергии и стремится </w:t>
      </w:r>
      <w:r w:rsidR="003F1D61">
        <w:rPr>
          <w:rFonts w:eastAsiaTheme="minorEastAsia"/>
          <w:sz w:val="28"/>
          <w:szCs w:val="28"/>
          <w:lang w:eastAsia="en-US"/>
        </w:rPr>
        <w:t xml:space="preserve">к энергетической </w:t>
      </w:r>
      <w:r w:rsidR="00BC5001">
        <w:rPr>
          <w:rFonts w:eastAsiaTheme="minorEastAsia"/>
          <w:sz w:val="28"/>
          <w:szCs w:val="28"/>
          <w:lang w:eastAsia="en-US"/>
        </w:rPr>
        <w:t>безо</w:t>
      </w:r>
      <w:r w:rsidR="003F1D61">
        <w:rPr>
          <w:rFonts w:eastAsiaTheme="minorEastAsia"/>
          <w:sz w:val="28"/>
          <w:szCs w:val="28"/>
          <w:lang w:eastAsia="en-US"/>
        </w:rPr>
        <w:t>пасности,</w:t>
      </w:r>
      <w:r w:rsidR="00B349BF">
        <w:rPr>
          <w:rFonts w:eastAsiaTheme="minorEastAsia"/>
          <w:sz w:val="28"/>
          <w:szCs w:val="28"/>
          <w:lang w:eastAsia="en-US"/>
        </w:rPr>
        <w:t xml:space="preserve"> </w:t>
      </w:r>
      <w:r w:rsidR="004F04CA">
        <w:rPr>
          <w:rFonts w:eastAsiaTheme="minorEastAsia"/>
          <w:sz w:val="28"/>
          <w:szCs w:val="28"/>
          <w:lang w:eastAsia="en-US"/>
        </w:rPr>
        <w:t>в том числе за счет повышения конкуренции и эффективности в сфере поставок и распределения энергоресурсов.</w:t>
      </w:r>
    </w:p>
    <w:p w14:paraId="60087D4A" w14:textId="1DF6F8A0" w:rsidR="000E6096" w:rsidRDefault="00705648" w:rsidP="000E6096">
      <w:pPr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w:r w:rsidRPr="00FE0540">
        <w:rPr>
          <w:sz w:val="28"/>
          <w:szCs w:val="28"/>
        </w:rPr>
        <w:tab/>
      </w:r>
      <w:r w:rsidR="003777F9">
        <w:rPr>
          <w:sz w:val="28"/>
          <w:szCs w:val="28"/>
        </w:rPr>
        <w:t>Так как законодательство ЕС касает</w:t>
      </w:r>
      <w:r w:rsidR="00C44684">
        <w:rPr>
          <w:sz w:val="28"/>
          <w:szCs w:val="28"/>
        </w:rPr>
        <w:t>ся компаний всех стран мира, не</w:t>
      </w:r>
      <w:r w:rsidR="003777F9">
        <w:rPr>
          <w:sz w:val="28"/>
          <w:szCs w:val="28"/>
        </w:rPr>
        <w:t>зависимо от места учреждения, данный законопроект затрагивает и российские компании. Согласно тексту законопроекта, ни одна добывающая компания</w:t>
      </w:r>
      <w:r w:rsidR="00FE59FE">
        <w:rPr>
          <w:sz w:val="28"/>
          <w:szCs w:val="28"/>
        </w:rPr>
        <w:t>,</w:t>
      </w:r>
      <w:r w:rsidR="003777F9">
        <w:rPr>
          <w:sz w:val="28"/>
          <w:szCs w:val="28"/>
        </w:rPr>
        <w:t xml:space="preserve"> </w:t>
      </w:r>
      <w:r w:rsidR="003777F9" w:rsidRPr="00BC5001">
        <w:rPr>
          <w:rFonts w:eastAsiaTheme="minorEastAsia"/>
          <w:sz w:val="28"/>
          <w:szCs w:val="28"/>
          <w:lang w:eastAsia="en-US"/>
        </w:rPr>
        <w:t>созданная в третьем государстве, не может контролировать транспортные мощности на территории Евросоюза.</w:t>
      </w:r>
    </w:p>
    <w:p w14:paraId="3826D3F1" w14:textId="15DED9C9" w:rsidR="0075479B" w:rsidRDefault="0075479B" w:rsidP="000E6096">
      <w:pPr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ab/>
        <w:t>Подобный законопроект являет ударом по «Газпрому», который сам добывает, продает и транспортирует энергоресурсы.</w:t>
      </w:r>
    </w:p>
    <w:p w14:paraId="2155BA01" w14:textId="26DADD0D" w:rsidR="0075479B" w:rsidRPr="00BC5001" w:rsidRDefault="0075479B" w:rsidP="000E6096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ab/>
        <w:t>В сентября 2</w:t>
      </w:r>
      <w:r w:rsidR="002A18C1">
        <w:rPr>
          <w:rFonts w:eastAsiaTheme="minorEastAsia"/>
          <w:sz w:val="28"/>
          <w:szCs w:val="28"/>
          <w:lang w:eastAsia="en-US"/>
        </w:rPr>
        <w:t>012 г. К</w:t>
      </w:r>
      <w:r w:rsidRPr="0075479B">
        <w:rPr>
          <w:rFonts w:eastAsiaTheme="minorEastAsia"/>
          <w:sz w:val="28"/>
          <w:szCs w:val="28"/>
          <w:lang w:eastAsia="en-US"/>
        </w:rPr>
        <w:t xml:space="preserve">омиссия инициировала антимонопольное расследование в отношении «Газпрома», обвинив его в намеренном </w:t>
      </w:r>
      <w:r w:rsidRPr="0075479B">
        <w:rPr>
          <w:rFonts w:eastAsiaTheme="minorEastAsia"/>
          <w:sz w:val="28"/>
          <w:szCs w:val="28"/>
          <w:lang w:eastAsia="en-US"/>
        </w:rPr>
        <w:lastRenderedPageBreak/>
        <w:t>ограничении конкуренции и злоупотреблении своим доминирующим положением на рынках Центральной и Восточной Европы.</w:t>
      </w:r>
    </w:p>
    <w:p w14:paraId="1C91854B" w14:textId="7C5CA50D" w:rsidR="00172395" w:rsidRPr="003645CE" w:rsidRDefault="00A66C8C" w:rsidP="00172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18C1">
        <w:rPr>
          <w:sz w:val="28"/>
          <w:szCs w:val="28"/>
        </w:rPr>
        <w:t>«Газпрому» принадлежа</w:t>
      </w:r>
      <w:r w:rsidRPr="003645CE">
        <w:rPr>
          <w:sz w:val="28"/>
          <w:szCs w:val="28"/>
        </w:rPr>
        <w:t xml:space="preserve">т 37 % акций компании </w:t>
      </w:r>
      <w:r w:rsidRPr="003645CE">
        <w:rPr>
          <w:sz w:val="28"/>
          <w:szCs w:val="28"/>
          <w:lang w:val="en-US"/>
        </w:rPr>
        <w:t>Lietuvos</w:t>
      </w:r>
      <w:r w:rsidRPr="003645CE">
        <w:rPr>
          <w:sz w:val="28"/>
          <w:szCs w:val="28"/>
        </w:rPr>
        <w:t xml:space="preserve"> </w:t>
      </w:r>
      <w:r w:rsidRPr="003645CE">
        <w:rPr>
          <w:sz w:val="28"/>
          <w:szCs w:val="28"/>
          <w:lang w:val="en-US"/>
        </w:rPr>
        <w:t>Dujos</w:t>
      </w:r>
      <w:r w:rsidRPr="003645CE">
        <w:rPr>
          <w:sz w:val="28"/>
          <w:szCs w:val="28"/>
        </w:rPr>
        <w:t>, акционерного общества, осуществл</w:t>
      </w:r>
      <w:r w:rsidR="002A18C1">
        <w:rPr>
          <w:sz w:val="28"/>
          <w:szCs w:val="28"/>
        </w:rPr>
        <w:t>яющего закупку, транспортировку и</w:t>
      </w:r>
      <w:r w:rsidRPr="003645CE">
        <w:rPr>
          <w:sz w:val="28"/>
          <w:szCs w:val="28"/>
        </w:rPr>
        <w:t xml:space="preserve"> распределение газа в Литовской республики и транзит газа в Калининградскую область.</w:t>
      </w:r>
      <w:r w:rsidR="0088540C" w:rsidRPr="003645CE">
        <w:rPr>
          <w:sz w:val="28"/>
          <w:szCs w:val="28"/>
        </w:rPr>
        <w:t xml:space="preserve"> Литва</w:t>
      </w:r>
      <w:r w:rsidR="002A18C1">
        <w:rPr>
          <w:sz w:val="28"/>
          <w:szCs w:val="28"/>
        </w:rPr>
        <w:t xml:space="preserve"> стремит</w:t>
      </w:r>
      <w:r w:rsidR="008B3768" w:rsidRPr="003645CE">
        <w:rPr>
          <w:sz w:val="28"/>
          <w:szCs w:val="28"/>
        </w:rPr>
        <w:t>ся к энергетич</w:t>
      </w:r>
      <w:r w:rsidR="002A18C1">
        <w:rPr>
          <w:sz w:val="28"/>
          <w:szCs w:val="28"/>
        </w:rPr>
        <w:t>еской безопасности</w:t>
      </w:r>
      <w:r w:rsidR="003645CE" w:rsidRPr="003645CE">
        <w:rPr>
          <w:sz w:val="28"/>
          <w:szCs w:val="28"/>
        </w:rPr>
        <w:t xml:space="preserve"> и</w:t>
      </w:r>
      <w:r w:rsidR="0088540C" w:rsidRPr="003645CE">
        <w:rPr>
          <w:sz w:val="28"/>
          <w:szCs w:val="28"/>
        </w:rPr>
        <w:t xml:space="preserve"> пытается снизить свою зависимость от поставок российского газа</w:t>
      </w:r>
      <w:r w:rsidR="003645CE" w:rsidRPr="003645CE">
        <w:rPr>
          <w:sz w:val="28"/>
          <w:szCs w:val="28"/>
        </w:rPr>
        <w:t>, намереваясь привести деятел</w:t>
      </w:r>
      <w:r w:rsidR="002A18C1">
        <w:rPr>
          <w:sz w:val="28"/>
          <w:szCs w:val="28"/>
        </w:rPr>
        <w:t xml:space="preserve">ьность </w:t>
      </w:r>
      <w:proofErr w:type="spellStart"/>
      <w:r w:rsidR="002A18C1">
        <w:rPr>
          <w:sz w:val="28"/>
          <w:szCs w:val="28"/>
        </w:rPr>
        <w:t>Lietuvos</w:t>
      </w:r>
      <w:proofErr w:type="spellEnd"/>
      <w:r w:rsidR="002A18C1">
        <w:rPr>
          <w:sz w:val="28"/>
          <w:szCs w:val="28"/>
        </w:rPr>
        <w:t xml:space="preserve"> </w:t>
      </w:r>
      <w:proofErr w:type="spellStart"/>
      <w:r w:rsidR="002A18C1">
        <w:rPr>
          <w:sz w:val="28"/>
          <w:szCs w:val="28"/>
        </w:rPr>
        <w:t>Dujos</w:t>
      </w:r>
      <w:proofErr w:type="spellEnd"/>
      <w:r w:rsidR="002A18C1">
        <w:rPr>
          <w:sz w:val="28"/>
          <w:szCs w:val="28"/>
        </w:rPr>
        <w:t xml:space="preserve"> к нормам «</w:t>
      </w:r>
      <w:r w:rsidR="003645CE" w:rsidRPr="003645CE">
        <w:rPr>
          <w:sz w:val="28"/>
          <w:szCs w:val="28"/>
        </w:rPr>
        <w:t xml:space="preserve">Третьего </w:t>
      </w:r>
      <w:r w:rsidR="002A18C1">
        <w:rPr>
          <w:sz w:val="28"/>
          <w:szCs w:val="28"/>
        </w:rPr>
        <w:t>энергетического пакета»</w:t>
      </w:r>
      <w:r w:rsidR="003645CE" w:rsidRPr="003645CE">
        <w:rPr>
          <w:sz w:val="28"/>
          <w:szCs w:val="28"/>
        </w:rPr>
        <w:t xml:space="preserve"> ЕС.</w:t>
      </w:r>
      <w:r w:rsidR="0088540C" w:rsidRPr="003645CE">
        <w:rPr>
          <w:sz w:val="28"/>
          <w:szCs w:val="28"/>
        </w:rPr>
        <w:t xml:space="preserve"> </w:t>
      </w:r>
      <w:r w:rsidR="003645CE" w:rsidRPr="003645CE">
        <w:rPr>
          <w:sz w:val="28"/>
          <w:szCs w:val="28"/>
        </w:rPr>
        <w:t>На сегодняшний день единственным пос</w:t>
      </w:r>
      <w:r w:rsidR="002A18C1">
        <w:rPr>
          <w:sz w:val="28"/>
          <w:szCs w:val="28"/>
        </w:rPr>
        <w:t>тавщиком газа в Литву является «Газпромом»</w:t>
      </w:r>
      <w:r w:rsidR="003645CE" w:rsidRPr="003645CE">
        <w:rPr>
          <w:sz w:val="28"/>
          <w:szCs w:val="28"/>
        </w:rPr>
        <w:t>.</w:t>
      </w:r>
      <w:r w:rsidR="00127A32">
        <w:rPr>
          <w:rStyle w:val="FootnoteReference"/>
          <w:sz w:val="28"/>
          <w:szCs w:val="28"/>
        </w:rPr>
        <w:footnoteReference w:id="25"/>
      </w:r>
      <w:r w:rsidR="0088540C" w:rsidRPr="003645CE">
        <w:rPr>
          <w:sz w:val="28"/>
          <w:szCs w:val="28"/>
        </w:rPr>
        <w:t xml:space="preserve"> </w:t>
      </w:r>
    </w:p>
    <w:p w14:paraId="7E1DD528" w14:textId="35377E90" w:rsidR="00817991" w:rsidRDefault="00743656" w:rsidP="00743656">
      <w:pPr>
        <w:spacing w:line="360" w:lineRule="auto"/>
        <w:ind w:firstLine="720"/>
        <w:jc w:val="both"/>
        <w:rPr>
          <w:sz w:val="28"/>
          <w:szCs w:val="28"/>
        </w:rPr>
      </w:pPr>
      <w:r w:rsidRPr="003645CE">
        <w:rPr>
          <w:sz w:val="28"/>
          <w:szCs w:val="28"/>
        </w:rPr>
        <w:t>На мой взгляд,</w:t>
      </w:r>
      <w:r w:rsidR="0045102A" w:rsidRPr="003645CE">
        <w:rPr>
          <w:sz w:val="28"/>
          <w:szCs w:val="28"/>
        </w:rPr>
        <w:t xml:space="preserve"> конкуренция на энергетическом и газовом рынке, разделение интегрированных энергетических компаний</w:t>
      </w:r>
      <w:r w:rsidR="0045102A">
        <w:rPr>
          <w:sz w:val="28"/>
          <w:szCs w:val="28"/>
        </w:rPr>
        <w:t xml:space="preserve"> </w:t>
      </w:r>
      <w:r w:rsidR="00E5192A">
        <w:rPr>
          <w:sz w:val="28"/>
          <w:szCs w:val="28"/>
        </w:rPr>
        <w:t>– цель, к которой необходимо стремиться</w:t>
      </w:r>
      <w:r w:rsidR="00F734CD">
        <w:rPr>
          <w:sz w:val="28"/>
          <w:szCs w:val="28"/>
        </w:rPr>
        <w:t xml:space="preserve"> и</w:t>
      </w:r>
      <w:r w:rsidR="00E5192A">
        <w:rPr>
          <w:sz w:val="28"/>
          <w:szCs w:val="28"/>
        </w:rPr>
        <w:t xml:space="preserve"> </w:t>
      </w:r>
      <w:r w:rsidR="00F734CD">
        <w:rPr>
          <w:sz w:val="28"/>
          <w:szCs w:val="28"/>
        </w:rPr>
        <w:t>России. Конечно</w:t>
      </w:r>
      <w:r w:rsidR="00DD3974">
        <w:rPr>
          <w:sz w:val="28"/>
          <w:szCs w:val="28"/>
        </w:rPr>
        <w:t>,</w:t>
      </w:r>
      <w:r w:rsidR="00F734CD">
        <w:rPr>
          <w:sz w:val="28"/>
          <w:szCs w:val="28"/>
        </w:rPr>
        <w:t xml:space="preserve"> продвигая «Третий энергопакет» Европа стремиться защитить свои интересы</w:t>
      </w:r>
      <w:r w:rsidR="00DD3974">
        <w:rPr>
          <w:sz w:val="28"/>
          <w:szCs w:val="28"/>
        </w:rPr>
        <w:t xml:space="preserve"> и </w:t>
      </w:r>
      <w:r w:rsidR="0057089B">
        <w:rPr>
          <w:sz w:val="28"/>
          <w:szCs w:val="28"/>
        </w:rPr>
        <w:t>в то же время</w:t>
      </w:r>
      <w:r w:rsidR="00DD3974">
        <w:rPr>
          <w:sz w:val="28"/>
          <w:szCs w:val="28"/>
        </w:rPr>
        <w:t xml:space="preserve"> бьет по </w:t>
      </w:r>
      <w:r w:rsidR="00E5192A" w:rsidRPr="00E7195F">
        <w:rPr>
          <w:sz w:val="28"/>
          <w:szCs w:val="28"/>
        </w:rPr>
        <w:t xml:space="preserve"> </w:t>
      </w:r>
      <w:r w:rsidR="00DD3974">
        <w:rPr>
          <w:sz w:val="28"/>
          <w:szCs w:val="28"/>
        </w:rPr>
        <w:t>интересам «Газпрома», своего основного поставщика газа.</w:t>
      </w:r>
      <w:r w:rsidR="0057089B">
        <w:rPr>
          <w:sz w:val="28"/>
          <w:szCs w:val="28"/>
        </w:rPr>
        <w:t xml:space="preserve"> Однако, с другой стороны, сам</w:t>
      </w:r>
      <w:r w:rsidR="00E71786">
        <w:rPr>
          <w:sz w:val="28"/>
          <w:szCs w:val="28"/>
        </w:rPr>
        <w:t>а идея конкурентного рынка газа</w:t>
      </w:r>
      <w:r w:rsidR="0057089B">
        <w:rPr>
          <w:sz w:val="28"/>
          <w:szCs w:val="28"/>
        </w:rPr>
        <w:t xml:space="preserve"> логична и</w:t>
      </w:r>
      <w:r w:rsidR="00E71786">
        <w:rPr>
          <w:sz w:val="28"/>
          <w:szCs w:val="28"/>
        </w:rPr>
        <w:t>,</w:t>
      </w:r>
      <w:r w:rsidR="0057089B">
        <w:rPr>
          <w:sz w:val="28"/>
          <w:szCs w:val="28"/>
        </w:rPr>
        <w:t xml:space="preserve"> </w:t>
      </w:r>
      <w:r w:rsidR="00E71786">
        <w:rPr>
          <w:sz w:val="28"/>
          <w:szCs w:val="28"/>
        </w:rPr>
        <w:t>кроме</w:t>
      </w:r>
      <w:r w:rsidR="00817991">
        <w:rPr>
          <w:sz w:val="28"/>
          <w:szCs w:val="28"/>
        </w:rPr>
        <w:t xml:space="preserve"> того</w:t>
      </w:r>
      <w:r w:rsidR="003E28F1">
        <w:rPr>
          <w:sz w:val="28"/>
          <w:szCs w:val="28"/>
        </w:rPr>
        <w:t>,</w:t>
      </w:r>
      <w:r w:rsidR="00817991">
        <w:rPr>
          <w:sz w:val="28"/>
          <w:szCs w:val="28"/>
        </w:rPr>
        <w:t xml:space="preserve"> необходима для развития газовой отрасли в России и</w:t>
      </w:r>
      <w:r w:rsidR="003E28F1">
        <w:rPr>
          <w:sz w:val="28"/>
          <w:szCs w:val="28"/>
        </w:rPr>
        <w:t xml:space="preserve"> для</w:t>
      </w:r>
      <w:r w:rsidR="00817991">
        <w:rPr>
          <w:sz w:val="28"/>
          <w:szCs w:val="28"/>
        </w:rPr>
        <w:t xml:space="preserve"> экономики в целом.</w:t>
      </w:r>
    </w:p>
    <w:p w14:paraId="446F1A41" w14:textId="389FE5B5" w:rsidR="00010FE9" w:rsidRDefault="00E7195F" w:rsidP="00817991">
      <w:pPr>
        <w:spacing w:line="360" w:lineRule="auto"/>
        <w:ind w:firstLine="720"/>
        <w:jc w:val="both"/>
        <w:rPr>
          <w:sz w:val="28"/>
          <w:szCs w:val="28"/>
        </w:rPr>
      </w:pPr>
      <w:r w:rsidRPr="00E7195F">
        <w:rPr>
          <w:sz w:val="28"/>
          <w:szCs w:val="28"/>
        </w:rPr>
        <w:t>«Газпром» обладает монопольной властью, эксклюзивным доступом к российским газовым ресурсам, компания прочно закрепила свои отношения с потребителями</w:t>
      </w:r>
      <w:r w:rsidR="00743656">
        <w:rPr>
          <w:sz w:val="28"/>
          <w:szCs w:val="28"/>
        </w:rPr>
        <w:t xml:space="preserve">. </w:t>
      </w:r>
      <w:r w:rsidR="003E28F1">
        <w:rPr>
          <w:sz w:val="28"/>
          <w:szCs w:val="28"/>
        </w:rPr>
        <w:t>В то же время</w:t>
      </w:r>
      <w:r w:rsidR="00F734CD">
        <w:rPr>
          <w:sz w:val="28"/>
          <w:szCs w:val="28"/>
        </w:rPr>
        <w:t xml:space="preserve"> </w:t>
      </w:r>
      <w:r w:rsidR="00F734CD" w:rsidRPr="005534BC">
        <w:rPr>
          <w:sz w:val="28"/>
          <w:szCs w:val="28"/>
        </w:rPr>
        <w:t xml:space="preserve">в </w:t>
      </w:r>
      <w:r w:rsidR="00F734CD" w:rsidRPr="00F272B0">
        <w:rPr>
          <w:sz w:val="28"/>
          <w:szCs w:val="28"/>
        </w:rPr>
        <w:t>числе основных факторов успеха монополии не фигурируют ни выход на новые рынки, ни снижение издержек, ни развитие новых технологий или увеличение добычи.</w:t>
      </w:r>
      <w:r w:rsidR="00F734CD" w:rsidRPr="00F272B0">
        <w:rPr>
          <w:rStyle w:val="FootnoteReference"/>
          <w:sz w:val="28"/>
          <w:szCs w:val="28"/>
        </w:rPr>
        <w:footnoteReference w:id="26"/>
      </w:r>
      <w:r w:rsidR="00AA3E6A" w:rsidRPr="00F272B0">
        <w:rPr>
          <w:sz w:val="28"/>
          <w:szCs w:val="28"/>
        </w:rPr>
        <w:t xml:space="preserve"> </w:t>
      </w:r>
      <w:r w:rsidR="00CA6DA9" w:rsidRPr="00F272B0">
        <w:rPr>
          <w:sz w:val="28"/>
          <w:szCs w:val="28"/>
        </w:rPr>
        <w:t>С сокращением спр</w:t>
      </w:r>
      <w:r w:rsidR="00DD3974">
        <w:rPr>
          <w:sz w:val="28"/>
          <w:szCs w:val="28"/>
        </w:rPr>
        <w:t>оса на газ со</w:t>
      </w:r>
      <w:r w:rsidR="00CA6DA9" w:rsidRPr="00F272B0">
        <w:rPr>
          <w:sz w:val="28"/>
          <w:szCs w:val="28"/>
        </w:rPr>
        <w:t xml:space="preserve"> стороны Европы «Газпром» максимизирует свою прибыль за счет повышения цен</w:t>
      </w:r>
      <w:r w:rsidR="00743656">
        <w:rPr>
          <w:sz w:val="28"/>
          <w:szCs w:val="28"/>
        </w:rPr>
        <w:t xml:space="preserve"> на внутреннем рынке</w:t>
      </w:r>
      <w:r w:rsidR="00CA6DA9" w:rsidRPr="00F272B0">
        <w:rPr>
          <w:sz w:val="28"/>
          <w:szCs w:val="28"/>
        </w:rPr>
        <w:t xml:space="preserve"> и сокращения производства.</w:t>
      </w:r>
      <w:r w:rsidR="00A43F81" w:rsidRPr="00F272B0">
        <w:rPr>
          <w:sz w:val="28"/>
          <w:szCs w:val="28"/>
        </w:rPr>
        <w:t xml:space="preserve"> </w:t>
      </w:r>
    </w:p>
    <w:p w14:paraId="49A9E852" w14:textId="0934D22C" w:rsidR="0045102A" w:rsidRPr="00F272B0" w:rsidRDefault="00A43F81" w:rsidP="00010FE9">
      <w:pPr>
        <w:spacing w:line="360" w:lineRule="auto"/>
        <w:ind w:firstLine="720"/>
        <w:jc w:val="both"/>
        <w:rPr>
          <w:sz w:val="28"/>
          <w:szCs w:val="28"/>
        </w:rPr>
      </w:pPr>
      <w:r w:rsidRPr="00F272B0">
        <w:rPr>
          <w:sz w:val="28"/>
          <w:szCs w:val="28"/>
        </w:rPr>
        <w:t>Либерализация газовой отрасли</w:t>
      </w:r>
      <w:r w:rsidR="00F272B0" w:rsidRPr="00F272B0">
        <w:rPr>
          <w:sz w:val="28"/>
          <w:szCs w:val="28"/>
        </w:rPr>
        <w:t xml:space="preserve"> способна вывести</w:t>
      </w:r>
      <w:r w:rsidR="00010FE9">
        <w:rPr>
          <w:sz w:val="28"/>
          <w:szCs w:val="28"/>
        </w:rPr>
        <w:t xml:space="preserve"> ее на новый уровень, а следовательно и повысить экономический рост. «Газпром»</w:t>
      </w:r>
      <w:r w:rsidR="00743656">
        <w:rPr>
          <w:sz w:val="28"/>
          <w:szCs w:val="28"/>
        </w:rPr>
        <w:t xml:space="preserve"> -</w:t>
      </w:r>
      <w:r w:rsidR="00010FE9">
        <w:rPr>
          <w:sz w:val="28"/>
          <w:szCs w:val="28"/>
        </w:rPr>
        <w:t xml:space="preserve"> очень крупная компания, изде</w:t>
      </w:r>
      <w:r w:rsidR="00743656">
        <w:rPr>
          <w:sz w:val="28"/>
          <w:szCs w:val="28"/>
        </w:rPr>
        <w:t>ржки ее управления очень высоки. В</w:t>
      </w:r>
      <w:r w:rsidR="00010FE9">
        <w:rPr>
          <w:sz w:val="28"/>
          <w:szCs w:val="28"/>
        </w:rPr>
        <w:t xml:space="preserve"> то же время масштабы компании лишь способствуют росту коррупции.</w:t>
      </w:r>
      <w:r w:rsidR="00553605">
        <w:rPr>
          <w:sz w:val="28"/>
          <w:szCs w:val="28"/>
        </w:rPr>
        <w:t xml:space="preserve"> Компания уничтожает </w:t>
      </w:r>
      <w:r w:rsidR="00553605">
        <w:rPr>
          <w:sz w:val="28"/>
          <w:szCs w:val="28"/>
        </w:rPr>
        <w:lastRenderedPageBreak/>
        <w:t xml:space="preserve">конкурентную среду, однако именно конкуренция способна повысить эффективность всей отрасли, </w:t>
      </w:r>
      <w:r w:rsidR="00553605" w:rsidRPr="00553605">
        <w:rPr>
          <w:sz w:val="28"/>
          <w:szCs w:val="28"/>
        </w:rPr>
        <w:t>снизить цены для потребителей и улучшить структуру российской экономики</w:t>
      </w:r>
      <w:r w:rsidR="00553605">
        <w:rPr>
          <w:sz w:val="28"/>
          <w:szCs w:val="28"/>
        </w:rPr>
        <w:t>.</w:t>
      </w:r>
    </w:p>
    <w:p w14:paraId="1A78EA5B" w14:textId="7D3CF6E7" w:rsidR="00817991" w:rsidRDefault="00817991" w:rsidP="00172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3507">
        <w:rPr>
          <w:sz w:val="28"/>
          <w:szCs w:val="28"/>
        </w:rPr>
        <w:t>Также по пути монополизации идет нефтяная</w:t>
      </w:r>
      <w:r>
        <w:rPr>
          <w:sz w:val="28"/>
          <w:szCs w:val="28"/>
        </w:rPr>
        <w:t xml:space="preserve"> отрасль. В марте 2013 г. </w:t>
      </w:r>
      <w:r w:rsidR="002A18C1">
        <w:rPr>
          <w:sz w:val="28"/>
          <w:szCs w:val="28"/>
        </w:rPr>
        <w:t>«</w:t>
      </w:r>
      <w:r>
        <w:rPr>
          <w:sz w:val="28"/>
          <w:szCs w:val="28"/>
        </w:rPr>
        <w:t>Росн</w:t>
      </w:r>
      <w:r w:rsidR="00DC3DB0">
        <w:rPr>
          <w:sz w:val="28"/>
          <w:szCs w:val="28"/>
        </w:rPr>
        <w:t>ефть</w:t>
      </w:r>
      <w:r w:rsidR="002A18C1">
        <w:rPr>
          <w:sz w:val="28"/>
          <w:szCs w:val="28"/>
        </w:rPr>
        <w:t>»</w:t>
      </w:r>
      <w:r w:rsidR="00DC3DB0">
        <w:rPr>
          <w:sz w:val="28"/>
          <w:szCs w:val="28"/>
        </w:rPr>
        <w:t xml:space="preserve"> завершила все сделки по при</w:t>
      </w:r>
      <w:r>
        <w:rPr>
          <w:sz w:val="28"/>
          <w:szCs w:val="28"/>
        </w:rPr>
        <w:t>обрет</w:t>
      </w:r>
      <w:r w:rsidRPr="00743656">
        <w:rPr>
          <w:sz w:val="28"/>
          <w:szCs w:val="28"/>
        </w:rPr>
        <w:t>ению компании</w:t>
      </w:r>
      <w:r w:rsidR="00DC3DB0" w:rsidRPr="00743656">
        <w:rPr>
          <w:sz w:val="28"/>
          <w:szCs w:val="28"/>
        </w:rPr>
        <w:t xml:space="preserve"> ТНК-BP, в результате чего стала крупнейшей в мире нефтегазовой компанией по объемам добычи и запасам углеводородов. Сделка</w:t>
      </w:r>
      <w:r w:rsidR="00DC3DB0">
        <w:rPr>
          <w:sz w:val="28"/>
          <w:szCs w:val="28"/>
        </w:rPr>
        <w:t xml:space="preserve"> была одобрена Комиссией ЕС. Как говорится в пресс-релизе Еврокомиссии от 8 марта 2013 г.</w:t>
      </w:r>
      <w:r w:rsidR="007A6A22">
        <w:rPr>
          <w:sz w:val="28"/>
          <w:szCs w:val="28"/>
        </w:rPr>
        <w:t>,</w:t>
      </w:r>
      <w:r w:rsidR="00DC3DB0">
        <w:rPr>
          <w:sz w:val="28"/>
          <w:szCs w:val="28"/>
        </w:rPr>
        <w:t xml:space="preserve"> </w:t>
      </w:r>
      <w:r w:rsidR="00815F95">
        <w:rPr>
          <w:sz w:val="28"/>
          <w:szCs w:val="28"/>
        </w:rPr>
        <w:t>было подтверж</w:t>
      </w:r>
      <w:r w:rsidR="00FF5B69">
        <w:rPr>
          <w:sz w:val="28"/>
          <w:szCs w:val="28"/>
        </w:rPr>
        <w:t>д</w:t>
      </w:r>
      <w:r w:rsidR="00815F95">
        <w:rPr>
          <w:sz w:val="28"/>
          <w:szCs w:val="28"/>
        </w:rPr>
        <w:t>ено, что слияние не ставит под угрозу конкуренцию</w:t>
      </w:r>
      <w:r w:rsidR="00FF5B69">
        <w:rPr>
          <w:sz w:val="28"/>
          <w:szCs w:val="28"/>
        </w:rPr>
        <w:t>, так как образовавшая</w:t>
      </w:r>
      <w:r w:rsidR="00815F95">
        <w:rPr>
          <w:sz w:val="28"/>
          <w:szCs w:val="28"/>
        </w:rPr>
        <w:t xml:space="preserve">ся компания </w:t>
      </w:r>
      <w:r w:rsidR="00FF5B69">
        <w:rPr>
          <w:sz w:val="28"/>
          <w:szCs w:val="28"/>
        </w:rPr>
        <w:t xml:space="preserve">столкнется с большим количеством серьезных соперников, </w:t>
      </w:r>
      <w:r w:rsidR="00F122A8">
        <w:rPr>
          <w:sz w:val="28"/>
          <w:szCs w:val="28"/>
        </w:rPr>
        <w:t>следовательно</w:t>
      </w:r>
      <w:r w:rsidR="00FF5B69">
        <w:rPr>
          <w:sz w:val="28"/>
          <w:szCs w:val="28"/>
        </w:rPr>
        <w:t xml:space="preserve"> потребители останутся в праве выбирать как поставщиков, так и способ транспортировки</w:t>
      </w:r>
      <w:r w:rsidR="00F122A8">
        <w:rPr>
          <w:sz w:val="28"/>
          <w:szCs w:val="28"/>
        </w:rPr>
        <w:t xml:space="preserve"> нефти</w:t>
      </w:r>
      <w:r w:rsidR="00FF5B69">
        <w:rPr>
          <w:sz w:val="28"/>
          <w:szCs w:val="28"/>
        </w:rPr>
        <w:t>. Таким образом</w:t>
      </w:r>
      <w:r w:rsidR="00453901">
        <w:rPr>
          <w:sz w:val="28"/>
          <w:szCs w:val="28"/>
        </w:rPr>
        <w:t>,</w:t>
      </w:r>
      <w:r w:rsidR="00FF5B69">
        <w:rPr>
          <w:sz w:val="28"/>
          <w:szCs w:val="28"/>
        </w:rPr>
        <w:t xml:space="preserve"> Еврокомиссия пришла к заключению, что сделка не наносит серьезного вреда эффективн</w:t>
      </w:r>
      <w:r w:rsidR="00130C0D">
        <w:rPr>
          <w:sz w:val="28"/>
          <w:szCs w:val="28"/>
        </w:rPr>
        <w:t>ой ко</w:t>
      </w:r>
      <w:r w:rsidR="00C477C1">
        <w:rPr>
          <w:sz w:val="28"/>
          <w:szCs w:val="28"/>
        </w:rPr>
        <w:t>нкуренции в пределах Европейского сообщества</w:t>
      </w:r>
      <w:r w:rsidR="00FF5B69">
        <w:rPr>
          <w:sz w:val="28"/>
          <w:szCs w:val="28"/>
        </w:rPr>
        <w:t>.</w:t>
      </w:r>
      <w:r w:rsidR="007A6A22">
        <w:rPr>
          <w:rStyle w:val="FootnoteReference"/>
          <w:sz w:val="28"/>
          <w:szCs w:val="28"/>
        </w:rPr>
        <w:footnoteReference w:id="27"/>
      </w:r>
    </w:p>
    <w:p w14:paraId="484427E4" w14:textId="32B57441" w:rsidR="00BD42E4" w:rsidRDefault="00133396" w:rsidP="00172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4AD3">
        <w:rPr>
          <w:sz w:val="28"/>
          <w:szCs w:val="28"/>
        </w:rPr>
        <w:t>Что касается поставок газа в</w:t>
      </w:r>
      <w:r>
        <w:rPr>
          <w:sz w:val="28"/>
          <w:szCs w:val="28"/>
        </w:rPr>
        <w:t xml:space="preserve"> Европу, </w:t>
      </w:r>
      <w:r w:rsidR="00EB71FA">
        <w:rPr>
          <w:sz w:val="28"/>
          <w:szCs w:val="28"/>
        </w:rPr>
        <w:t>исключительным пр</w:t>
      </w:r>
      <w:r w:rsidR="00EB71FA" w:rsidRPr="007A6A22">
        <w:rPr>
          <w:sz w:val="28"/>
          <w:szCs w:val="28"/>
        </w:rPr>
        <w:t>аво</w:t>
      </w:r>
      <w:r w:rsidR="007A6A22">
        <w:rPr>
          <w:sz w:val="28"/>
          <w:szCs w:val="28"/>
        </w:rPr>
        <w:t>м</w:t>
      </w:r>
      <w:r w:rsidR="00EB71FA" w:rsidRPr="007A6A22">
        <w:rPr>
          <w:sz w:val="28"/>
          <w:szCs w:val="28"/>
        </w:rPr>
        <w:t xml:space="preserve"> на экспорт газа</w:t>
      </w:r>
      <w:r w:rsidR="007A6A22">
        <w:rPr>
          <w:sz w:val="28"/>
          <w:szCs w:val="28"/>
        </w:rPr>
        <w:t xml:space="preserve"> обладает компания «Газпром»</w:t>
      </w:r>
      <w:r w:rsidR="00110D2B" w:rsidRPr="007A6A22">
        <w:rPr>
          <w:sz w:val="28"/>
          <w:szCs w:val="28"/>
        </w:rPr>
        <w:t>,</w:t>
      </w:r>
      <w:r w:rsidR="00110D2B" w:rsidRPr="005534BC">
        <w:rPr>
          <w:sz w:val="28"/>
          <w:szCs w:val="28"/>
        </w:rPr>
        <w:t xml:space="preserve"> </w:t>
      </w:r>
      <w:r w:rsidR="00110D2B">
        <w:rPr>
          <w:sz w:val="28"/>
          <w:szCs w:val="28"/>
        </w:rPr>
        <w:t xml:space="preserve">поэтому слияние не приведет к снижению конкуренции на рынке газа </w:t>
      </w:r>
      <w:r w:rsidR="00C477C1">
        <w:rPr>
          <w:sz w:val="28"/>
          <w:szCs w:val="28"/>
        </w:rPr>
        <w:t>на территории</w:t>
      </w:r>
      <w:r w:rsidR="00110D2B">
        <w:rPr>
          <w:sz w:val="28"/>
          <w:szCs w:val="28"/>
        </w:rPr>
        <w:t xml:space="preserve"> Европейского Союза</w:t>
      </w:r>
      <w:r w:rsidR="00EB71FA" w:rsidRPr="005534BC">
        <w:rPr>
          <w:sz w:val="28"/>
          <w:szCs w:val="28"/>
        </w:rPr>
        <w:t>.</w:t>
      </w:r>
      <w:r w:rsidR="00EB71FA">
        <w:rPr>
          <w:rStyle w:val="FootnoteReference"/>
          <w:sz w:val="28"/>
          <w:szCs w:val="28"/>
          <w:lang w:val="en-US"/>
        </w:rPr>
        <w:footnoteReference w:id="28"/>
      </w:r>
      <w:r w:rsidR="00871530">
        <w:rPr>
          <w:sz w:val="28"/>
          <w:szCs w:val="28"/>
        </w:rPr>
        <w:t xml:space="preserve"> Необходимо было проанализировать влияние сделки на конкуренцию на нефтяном рынке. В частности</w:t>
      </w:r>
      <w:r w:rsidR="00BD42E4">
        <w:rPr>
          <w:sz w:val="28"/>
          <w:szCs w:val="28"/>
        </w:rPr>
        <w:t>,</w:t>
      </w:r>
      <w:r w:rsidR="007A6A22">
        <w:rPr>
          <w:sz w:val="28"/>
          <w:szCs w:val="28"/>
        </w:rPr>
        <w:t xml:space="preserve"> заинтересованными в сделке сторонами</w:t>
      </w:r>
      <w:r w:rsidR="00871530">
        <w:rPr>
          <w:sz w:val="28"/>
          <w:szCs w:val="28"/>
        </w:rPr>
        <w:t xml:space="preserve"> был поднят вопрос о том, что объединившаяся компания потенциально может повысить цены на сырую нефть</w:t>
      </w:r>
      <w:r w:rsidR="000A2DC4">
        <w:rPr>
          <w:sz w:val="28"/>
          <w:szCs w:val="28"/>
        </w:rPr>
        <w:t>,</w:t>
      </w:r>
      <w:r w:rsidR="00B12072">
        <w:rPr>
          <w:sz w:val="28"/>
          <w:szCs w:val="28"/>
        </w:rPr>
        <w:t xml:space="preserve"> поступающую в</w:t>
      </w:r>
      <w:r w:rsidR="00871530">
        <w:rPr>
          <w:sz w:val="28"/>
          <w:szCs w:val="28"/>
        </w:rPr>
        <w:t xml:space="preserve"> Герман</w:t>
      </w:r>
      <w:r w:rsidR="00B12072">
        <w:rPr>
          <w:sz w:val="28"/>
          <w:szCs w:val="28"/>
        </w:rPr>
        <w:t>ию и Польшу</w:t>
      </w:r>
      <w:r w:rsidR="003C1A46">
        <w:rPr>
          <w:sz w:val="28"/>
          <w:szCs w:val="28"/>
        </w:rPr>
        <w:t xml:space="preserve"> непосредственно на нефтеперерабатывающие заводы</w:t>
      </w:r>
      <w:r w:rsidR="00B12072">
        <w:rPr>
          <w:sz w:val="28"/>
          <w:szCs w:val="28"/>
        </w:rPr>
        <w:t xml:space="preserve"> через международный магистральный нефтепровод «Дружба»</w:t>
      </w:r>
      <w:r w:rsidR="00871530">
        <w:rPr>
          <w:sz w:val="28"/>
          <w:szCs w:val="28"/>
        </w:rPr>
        <w:t xml:space="preserve">, так как </w:t>
      </w:r>
      <w:r w:rsidR="003C1A46">
        <w:rPr>
          <w:sz w:val="28"/>
          <w:szCs w:val="28"/>
        </w:rPr>
        <w:t xml:space="preserve">альтернативных источников поставки нефти немного и все они являются значительно более мелкими компаниями нежели </w:t>
      </w:r>
      <w:r w:rsidR="007A6A22">
        <w:rPr>
          <w:sz w:val="28"/>
          <w:szCs w:val="28"/>
        </w:rPr>
        <w:t>«</w:t>
      </w:r>
      <w:r w:rsidR="003C1A46">
        <w:rPr>
          <w:sz w:val="28"/>
          <w:szCs w:val="28"/>
        </w:rPr>
        <w:t>Роснефть</w:t>
      </w:r>
      <w:r w:rsidR="007A6A22">
        <w:rPr>
          <w:sz w:val="28"/>
          <w:szCs w:val="28"/>
        </w:rPr>
        <w:t>»</w:t>
      </w:r>
      <w:r w:rsidR="003C1A46">
        <w:rPr>
          <w:sz w:val="28"/>
          <w:szCs w:val="28"/>
        </w:rPr>
        <w:t>.</w:t>
      </w:r>
      <w:r w:rsidR="00EC4604">
        <w:rPr>
          <w:sz w:val="28"/>
          <w:szCs w:val="28"/>
        </w:rPr>
        <w:t xml:space="preserve"> </w:t>
      </w:r>
    </w:p>
    <w:p w14:paraId="3DEABF10" w14:textId="54EE3F14" w:rsidR="00133396" w:rsidRPr="00871530" w:rsidRDefault="00EC4604" w:rsidP="00BD42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через нефтепровод «Дружба» нефть поставляют также другие компании, среди которых «Сургутнефтегаз», «Татнефть» и прочие. Таким образом</w:t>
      </w:r>
      <w:r w:rsidR="008B120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исследованию</w:t>
      </w:r>
      <w:r w:rsidR="00BD42E4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проведенному Еврокомиссией</w:t>
      </w:r>
      <w:r w:rsidR="00BD42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4AD3">
        <w:rPr>
          <w:sz w:val="28"/>
          <w:szCs w:val="28"/>
        </w:rPr>
        <w:t xml:space="preserve">конкуренты </w:t>
      </w:r>
      <w:r>
        <w:rPr>
          <w:sz w:val="28"/>
          <w:szCs w:val="28"/>
        </w:rPr>
        <w:lastRenderedPageBreak/>
        <w:t>не позволят «Роснефти» поднять цены.</w:t>
      </w:r>
      <w:r w:rsidR="00D54AD3">
        <w:rPr>
          <w:sz w:val="28"/>
          <w:szCs w:val="28"/>
        </w:rPr>
        <w:t xml:space="preserve"> А так</w:t>
      </w:r>
      <w:r w:rsidR="005D47B5">
        <w:rPr>
          <w:sz w:val="28"/>
          <w:szCs w:val="28"/>
        </w:rPr>
        <w:t>же комиссия отмечает, что нефтеперерабатывающие заводы Польши и Германии технически имеют возможность переключиться на альтернативные способы поставки, например танкерами.</w:t>
      </w:r>
    </w:p>
    <w:p w14:paraId="4073BD64" w14:textId="5FC8FBE6" w:rsidR="00816AC9" w:rsidRDefault="00F122A8" w:rsidP="001723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204">
        <w:rPr>
          <w:sz w:val="28"/>
          <w:szCs w:val="28"/>
        </w:rPr>
        <w:t>«</w:t>
      </w:r>
      <w:r w:rsidR="00453901">
        <w:rPr>
          <w:sz w:val="28"/>
          <w:szCs w:val="28"/>
        </w:rPr>
        <w:t>Роснефть</w:t>
      </w:r>
      <w:r w:rsidR="008B1204">
        <w:rPr>
          <w:sz w:val="28"/>
          <w:szCs w:val="28"/>
        </w:rPr>
        <w:t>»</w:t>
      </w:r>
      <w:r w:rsidR="00453901">
        <w:rPr>
          <w:sz w:val="28"/>
          <w:szCs w:val="28"/>
        </w:rPr>
        <w:t xml:space="preserve"> – государственная компания. </w:t>
      </w:r>
      <w:r w:rsidR="00D54AD3">
        <w:rPr>
          <w:sz w:val="28"/>
          <w:szCs w:val="28"/>
        </w:rPr>
        <w:t>Поэтому комиссия оценивала в том числе</w:t>
      </w:r>
      <w:r w:rsidR="00453901">
        <w:rPr>
          <w:sz w:val="28"/>
          <w:szCs w:val="28"/>
        </w:rPr>
        <w:t xml:space="preserve">, на сколько </w:t>
      </w:r>
      <w:r w:rsidR="00B0394D">
        <w:rPr>
          <w:sz w:val="28"/>
          <w:szCs w:val="28"/>
        </w:rPr>
        <w:t>в</w:t>
      </w:r>
      <w:r w:rsidR="008B1204">
        <w:rPr>
          <w:sz w:val="28"/>
          <w:szCs w:val="28"/>
        </w:rPr>
        <w:t>лияет государство на поведение</w:t>
      </w:r>
      <w:r w:rsidR="00B0394D">
        <w:rPr>
          <w:sz w:val="28"/>
          <w:szCs w:val="28"/>
        </w:rPr>
        <w:t xml:space="preserve"> государственных компаний в нефтегазовом секторе. Еврокомиссия</w:t>
      </w:r>
      <w:r w:rsidR="00816AC9">
        <w:rPr>
          <w:sz w:val="28"/>
          <w:szCs w:val="28"/>
        </w:rPr>
        <w:t>,</w:t>
      </w:r>
      <w:r w:rsidR="00B0394D">
        <w:rPr>
          <w:sz w:val="28"/>
          <w:szCs w:val="28"/>
        </w:rPr>
        <w:t xml:space="preserve"> изучив данный вопрос</w:t>
      </w:r>
      <w:r w:rsidR="00816AC9">
        <w:rPr>
          <w:sz w:val="28"/>
          <w:szCs w:val="28"/>
        </w:rPr>
        <w:t>,</w:t>
      </w:r>
      <w:r w:rsidR="00B0394D">
        <w:rPr>
          <w:sz w:val="28"/>
          <w:szCs w:val="28"/>
        </w:rPr>
        <w:t xml:space="preserve"> пришла к выводу, что правительство РФ активно участвует в процессе управления и назначения руководящего состава компании, основываясь на</w:t>
      </w:r>
      <w:r w:rsidR="00816AC9">
        <w:rPr>
          <w:sz w:val="28"/>
          <w:szCs w:val="28"/>
        </w:rPr>
        <w:t xml:space="preserve"> следующих фактах</w:t>
      </w:r>
      <w:r w:rsidR="008B1204">
        <w:rPr>
          <w:sz w:val="28"/>
          <w:szCs w:val="28"/>
        </w:rPr>
        <w:t>:</w:t>
      </w:r>
      <w:r w:rsidR="00B0394D">
        <w:rPr>
          <w:rStyle w:val="FootnoteReference"/>
          <w:sz w:val="28"/>
          <w:szCs w:val="28"/>
        </w:rPr>
        <w:footnoteReference w:id="29"/>
      </w:r>
    </w:p>
    <w:p w14:paraId="42E37281" w14:textId="69D7AF8A" w:rsidR="00253F88" w:rsidRPr="005534BC" w:rsidRDefault="00253F88" w:rsidP="0022648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eastAsiaTheme="minorEastAsia"/>
          <w:sz w:val="28"/>
          <w:szCs w:val="28"/>
          <w:lang w:eastAsia="en-US"/>
        </w:rPr>
      </w:pPr>
      <w:r w:rsidRPr="0022648B">
        <w:rPr>
          <w:sz w:val="28"/>
          <w:szCs w:val="28"/>
        </w:rPr>
        <w:t>Совет директоров назначается на собрании акционеров голосованием, при этом н</w:t>
      </w:r>
      <w:r w:rsidR="009F0BB0">
        <w:rPr>
          <w:sz w:val="28"/>
          <w:szCs w:val="28"/>
        </w:rPr>
        <w:t>еобходимо учитывать, что обладателем</w:t>
      </w:r>
      <w:r w:rsidRPr="0022648B">
        <w:rPr>
          <w:sz w:val="28"/>
          <w:szCs w:val="28"/>
        </w:rPr>
        <w:t xml:space="preserve"> </w:t>
      </w:r>
      <w:r w:rsidRPr="005534BC">
        <w:rPr>
          <w:rFonts w:eastAsiaTheme="minorEastAsia"/>
          <w:sz w:val="28"/>
          <w:szCs w:val="28"/>
          <w:lang w:eastAsia="en-US"/>
        </w:rPr>
        <w:t>75.16% акций</w:t>
      </w:r>
      <w:r w:rsidR="0022648B" w:rsidRPr="005534BC">
        <w:rPr>
          <w:rFonts w:eastAsiaTheme="minorEastAsia"/>
          <w:sz w:val="28"/>
          <w:szCs w:val="28"/>
          <w:lang w:eastAsia="en-US"/>
        </w:rPr>
        <w:t xml:space="preserve"> </w:t>
      </w:r>
      <w:r w:rsidR="008B1204">
        <w:rPr>
          <w:rFonts w:eastAsiaTheme="minorEastAsia"/>
          <w:sz w:val="28"/>
          <w:szCs w:val="28"/>
          <w:lang w:eastAsia="en-US"/>
        </w:rPr>
        <w:t>«</w:t>
      </w:r>
      <w:r w:rsidR="0022648B" w:rsidRPr="005534BC">
        <w:rPr>
          <w:rFonts w:eastAsiaTheme="minorEastAsia"/>
          <w:sz w:val="28"/>
          <w:szCs w:val="28"/>
          <w:lang w:eastAsia="en-US"/>
        </w:rPr>
        <w:t>Роснефти</w:t>
      </w:r>
      <w:r w:rsidR="008B1204">
        <w:rPr>
          <w:rFonts w:eastAsiaTheme="minorEastAsia"/>
          <w:sz w:val="28"/>
          <w:szCs w:val="28"/>
          <w:lang w:eastAsia="en-US"/>
        </w:rPr>
        <w:t>»</w:t>
      </w:r>
      <w:r w:rsidR="0022648B" w:rsidRPr="005534BC">
        <w:rPr>
          <w:rFonts w:eastAsiaTheme="minorEastAsia"/>
          <w:sz w:val="28"/>
          <w:szCs w:val="28"/>
          <w:lang w:eastAsia="en-US"/>
        </w:rPr>
        <w:t xml:space="preserve"> является ОАО «РОСНЕФТЕГАЗ»</w:t>
      </w:r>
      <w:r w:rsidR="0022648B">
        <w:rPr>
          <w:rFonts w:eastAsiaTheme="minorEastAsia"/>
          <w:sz w:val="28"/>
          <w:szCs w:val="28"/>
          <w:lang w:eastAsia="en-US"/>
        </w:rPr>
        <w:t>, полностью находящийся в федеральной собственности.</w:t>
      </w:r>
    </w:p>
    <w:p w14:paraId="049627D6" w14:textId="3699DD2A" w:rsidR="00253F88" w:rsidRDefault="00253F88" w:rsidP="0022648B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204">
        <w:rPr>
          <w:sz w:val="28"/>
          <w:szCs w:val="28"/>
        </w:rPr>
        <w:t>Члены</w:t>
      </w:r>
      <w:r w:rsidR="009F0BB0">
        <w:rPr>
          <w:sz w:val="28"/>
          <w:szCs w:val="28"/>
        </w:rPr>
        <w:t xml:space="preserve"> совета директоров компании являются директорами-членами правления в том числе других компаний, находящихся в собственности государства и задействованных в нефтегазовой отрасли.</w:t>
      </w:r>
    </w:p>
    <w:p w14:paraId="408CA6EF" w14:textId="2E6E68F6" w:rsidR="009F0BB0" w:rsidRDefault="009F0BB0" w:rsidP="0022648B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членов совета директоров</w:t>
      </w:r>
      <w:r w:rsidR="00060747">
        <w:rPr>
          <w:sz w:val="28"/>
          <w:szCs w:val="28"/>
        </w:rPr>
        <w:t xml:space="preserve"> </w:t>
      </w:r>
      <w:r w:rsidR="00611290">
        <w:rPr>
          <w:sz w:val="28"/>
          <w:szCs w:val="28"/>
        </w:rPr>
        <w:t>обязательно присутствие лиц, назначенных правительством РФ</w:t>
      </w:r>
      <w:r w:rsidR="00195C3F">
        <w:rPr>
          <w:sz w:val="28"/>
          <w:szCs w:val="28"/>
        </w:rPr>
        <w:t xml:space="preserve"> </w:t>
      </w:r>
      <w:r w:rsidR="005731B1">
        <w:rPr>
          <w:sz w:val="28"/>
          <w:szCs w:val="28"/>
        </w:rPr>
        <w:t xml:space="preserve">с целью </w:t>
      </w:r>
      <w:r w:rsidR="008B1204">
        <w:rPr>
          <w:sz w:val="28"/>
          <w:szCs w:val="28"/>
        </w:rPr>
        <w:t>контроля всего процесса управления, его соответствия законодательным нормам РФ</w:t>
      </w:r>
      <w:r w:rsidR="007558D2">
        <w:rPr>
          <w:sz w:val="28"/>
          <w:szCs w:val="28"/>
        </w:rPr>
        <w:t>.</w:t>
      </w:r>
      <w:r w:rsidR="00060747">
        <w:rPr>
          <w:rStyle w:val="FootnoteReference"/>
          <w:sz w:val="28"/>
          <w:szCs w:val="28"/>
        </w:rPr>
        <w:footnoteReference w:id="30"/>
      </w:r>
    </w:p>
    <w:p w14:paraId="72600857" w14:textId="72A459EA" w:rsidR="00605DDA" w:rsidRDefault="00605DDA" w:rsidP="00381B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558D2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правительство РФ имеет воздействие на процесс принятия решений компании </w:t>
      </w:r>
      <w:r w:rsidR="007558D2">
        <w:rPr>
          <w:sz w:val="28"/>
          <w:szCs w:val="28"/>
        </w:rPr>
        <w:t>«</w:t>
      </w:r>
      <w:r>
        <w:rPr>
          <w:sz w:val="28"/>
          <w:szCs w:val="28"/>
        </w:rPr>
        <w:t>Роснефть</w:t>
      </w:r>
      <w:r w:rsidR="007558D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4EFF7680" w14:textId="72AEF9FC" w:rsidR="003C0BF7" w:rsidRPr="007558D2" w:rsidRDefault="00381BB7" w:rsidP="00381B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Опасность этой</w:t>
      </w:r>
      <w:r w:rsidR="00605DDA">
        <w:rPr>
          <w:sz w:val="28"/>
          <w:szCs w:val="28"/>
        </w:rPr>
        <w:t xml:space="preserve"> сделки</w:t>
      </w:r>
      <w:r w:rsidR="007558D2">
        <w:rPr>
          <w:sz w:val="28"/>
          <w:szCs w:val="28"/>
        </w:rPr>
        <w:t>,</w:t>
      </w:r>
      <w:r w:rsidR="00605DDA">
        <w:rPr>
          <w:sz w:val="28"/>
          <w:szCs w:val="28"/>
        </w:rPr>
        <w:t xml:space="preserve"> с точки зрения Еврокомиссии</w:t>
      </w:r>
      <w:r w:rsidR="007558D2">
        <w:rPr>
          <w:sz w:val="28"/>
          <w:szCs w:val="28"/>
        </w:rPr>
        <w:t>,</w:t>
      </w:r>
      <w:r w:rsidR="00605DDA">
        <w:rPr>
          <w:sz w:val="28"/>
          <w:szCs w:val="28"/>
        </w:rPr>
        <w:t xml:space="preserve"> заключает</w:t>
      </w:r>
      <w:r w:rsidR="00094A91">
        <w:rPr>
          <w:sz w:val="28"/>
          <w:szCs w:val="28"/>
        </w:rPr>
        <w:t>ся в возможности объединения «Ро</w:t>
      </w:r>
      <w:r w:rsidR="00605DDA">
        <w:rPr>
          <w:sz w:val="28"/>
          <w:szCs w:val="28"/>
        </w:rPr>
        <w:t>снефти» и других крупных российских нефтегазовых компаний, таких как «Газпром», «Транснефть»</w:t>
      </w:r>
      <w:r w:rsidR="00130C0D">
        <w:rPr>
          <w:sz w:val="28"/>
          <w:szCs w:val="28"/>
        </w:rPr>
        <w:t>.</w:t>
      </w:r>
      <w:r w:rsidR="00B200E1">
        <w:rPr>
          <w:sz w:val="28"/>
          <w:szCs w:val="28"/>
        </w:rPr>
        <w:t xml:space="preserve"> </w:t>
      </w:r>
      <w:r w:rsidR="007558D2">
        <w:rPr>
          <w:sz w:val="28"/>
          <w:szCs w:val="28"/>
        </w:rPr>
        <w:t>Тем не менее в случае</w:t>
      </w:r>
      <w:r w:rsidR="00B200E1">
        <w:rPr>
          <w:sz w:val="28"/>
          <w:szCs w:val="28"/>
        </w:rPr>
        <w:t xml:space="preserve"> вертикальной интеграции</w:t>
      </w:r>
      <w:r w:rsidR="00100E71">
        <w:rPr>
          <w:sz w:val="28"/>
          <w:szCs w:val="28"/>
        </w:rPr>
        <w:t xml:space="preserve"> компаний в отрасли пр</w:t>
      </w:r>
      <w:r w:rsidR="00E43A46">
        <w:rPr>
          <w:sz w:val="28"/>
          <w:szCs w:val="28"/>
        </w:rPr>
        <w:t>оизводства и продажи сырой нефти и нефтепродуктов</w:t>
      </w:r>
      <w:r w:rsidR="00B200E1">
        <w:rPr>
          <w:sz w:val="28"/>
          <w:szCs w:val="28"/>
        </w:rPr>
        <w:t>,</w:t>
      </w:r>
      <w:r w:rsidR="00E43A46">
        <w:rPr>
          <w:sz w:val="28"/>
          <w:szCs w:val="28"/>
        </w:rPr>
        <w:t xml:space="preserve"> </w:t>
      </w:r>
      <w:r w:rsidR="00B200E1">
        <w:rPr>
          <w:sz w:val="28"/>
          <w:szCs w:val="28"/>
        </w:rPr>
        <w:t>общая доля «Роснефти» и ТНК-</w:t>
      </w:r>
      <w:r w:rsidR="00B200E1">
        <w:rPr>
          <w:sz w:val="28"/>
          <w:szCs w:val="28"/>
          <w:lang w:val="en-US"/>
        </w:rPr>
        <w:t>BP</w:t>
      </w:r>
      <w:r w:rsidR="00B200E1" w:rsidRPr="005534BC">
        <w:rPr>
          <w:sz w:val="28"/>
          <w:szCs w:val="28"/>
        </w:rPr>
        <w:t xml:space="preserve"> </w:t>
      </w:r>
      <w:r w:rsidR="00B200E1">
        <w:rPr>
          <w:sz w:val="28"/>
          <w:szCs w:val="28"/>
        </w:rPr>
        <w:lastRenderedPageBreak/>
        <w:t xml:space="preserve">и российских нефтегазовых компаний не превысит 25 </w:t>
      </w:r>
      <w:r w:rsidR="00B200E1" w:rsidRPr="005534BC">
        <w:rPr>
          <w:sz w:val="28"/>
          <w:szCs w:val="28"/>
        </w:rPr>
        <w:t xml:space="preserve">% </w:t>
      </w:r>
      <w:r w:rsidR="00B200E1">
        <w:rPr>
          <w:sz w:val="28"/>
          <w:szCs w:val="28"/>
        </w:rPr>
        <w:t>от мирового рынка</w:t>
      </w:r>
      <w:r w:rsidR="007558D2">
        <w:rPr>
          <w:sz w:val="28"/>
          <w:szCs w:val="28"/>
        </w:rPr>
        <w:t xml:space="preserve">, поэтому угрозу </w:t>
      </w:r>
      <w:r w:rsidR="007558D2" w:rsidRPr="007558D2">
        <w:rPr>
          <w:sz w:val="28"/>
          <w:szCs w:val="28"/>
        </w:rPr>
        <w:t>конкуренции в слиянии компаний комиссия не усмотрела.</w:t>
      </w:r>
      <w:r w:rsidR="00B200E1" w:rsidRPr="007558D2">
        <w:rPr>
          <w:rStyle w:val="FootnoteReference"/>
          <w:sz w:val="28"/>
          <w:szCs w:val="28"/>
        </w:rPr>
        <w:footnoteReference w:id="31"/>
      </w:r>
      <w:r w:rsidR="00B200E1" w:rsidRPr="007558D2">
        <w:rPr>
          <w:sz w:val="28"/>
          <w:szCs w:val="28"/>
        </w:rPr>
        <w:t xml:space="preserve"> Таким образом</w:t>
      </w:r>
      <w:r w:rsidR="007558D2" w:rsidRPr="007558D2">
        <w:rPr>
          <w:sz w:val="28"/>
          <w:szCs w:val="28"/>
        </w:rPr>
        <w:t>,</w:t>
      </w:r>
      <w:r w:rsidR="00B200E1" w:rsidRPr="007558D2">
        <w:rPr>
          <w:sz w:val="28"/>
          <w:szCs w:val="28"/>
        </w:rPr>
        <w:t xml:space="preserve"> этот</w:t>
      </w:r>
      <w:r w:rsidR="00130C0D" w:rsidRPr="007558D2">
        <w:rPr>
          <w:sz w:val="28"/>
          <w:szCs w:val="28"/>
        </w:rPr>
        <w:t xml:space="preserve"> вопрос остался открытым</w:t>
      </w:r>
      <w:r w:rsidR="00FA2922">
        <w:rPr>
          <w:sz w:val="28"/>
          <w:szCs w:val="28"/>
        </w:rPr>
        <w:t>.</w:t>
      </w:r>
      <w:r w:rsidR="00DF190C" w:rsidRPr="00DF190C">
        <w:rPr>
          <w:color w:val="FF0000"/>
          <w:sz w:val="28"/>
          <w:szCs w:val="28"/>
        </w:rPr>
        <w:t xml:space="preserve"> </w:t>
      </w:r>
    </w:p>
    <w:p w14:paraId="475175CF" w14:textId="50C05631" w:rsidR="00212D9F" w:rsidRPr="005D4FC4" w:rsidRDefault="005D4FC4" w:rsidP="004D2730">
      <w:pPr>
        <w:spacing w:line="360" w:lineRule="auto"/>
        <w:ind w:firstLine="720"/>
        <w:jc w:val="both"/>
        <w:rPr>
          <w:sz w:val="28"/>
          <w:szCs w:val="28"/>
        </w:rPr>
      </w:pPr>
      <w:r w:rsidRPr="005D4FC4">
        <w:rPr>
          <w:sz w:val="28"/>
          <w:szCs w:val="28"/>
        </w:rPr>
        <w:t>Необходимо</w:t>
      </w:r>
      <w:r w:rsidR="00810016" w:rsidRPr="005D4FC4">
        <w:rPr>
          <w:sz w:val="28"/>
          <w:szCs w:val="28"/>
        </w:rPr>
        <w:t xml:space="preserve"> отметить, что</w:t>
      </w:r>
      <w:r w:rsidRPr="005D4FC4">
        <w:rPr>
          <w:sz w:val="28"/>
          <w:szCs w:val="28"/>
        </w:rPr>
        <w:t xml:space="preserve"> в целом</w:t>
      </w:r>
      <w:r w:rsidR="00810016" w:rsidRPr="005D4FC4">
        <w:rPr>
          <w:sz w:val="28"/>
          <w:szCs w:val="28"/>
        </w:rPr>
        <w:t xml:space="preserve"> </w:t>
      </w:r>
      <w:r w:rsidR="005832B5" w:rsidRPr="005D4FC4">
        <w:rPr>
          <w:sz w:val="28"/>
          <w:szCs w:val="28"/>
        </w:rPr>
        <w:t>число приобретений отечественными компан</w:t>
      </w:r>
      <w:r w:rsidR="00560ADE" w:rsidRPr="005D4FC4">
        <w:rPr>
          <w:sz w:val="28"/>
          <w:szCs w:val="28"/>
        </w:rPr>
        <w:t xml:space="preserve">иями активов в ЕС пока невелико. </w:t>
      </w:r>
      <w:r w:rsidR="005832B5" w:rsidRPr="005D4FC4">
        <w:rPr>
          <w:sz w:val="28"/>
          <w:szCs w:val="28"/>
        </w:rPr>
        <w:t>Европейского</w:t>
      </w:r>
      <w:r w:rsidR="00E45EBC" w:rsidRPr="005D4FC4">
        <w:rPr>
          <w:sz w:val="28"/>
          <w:szCs w:val="28"/>
        </w:rPr>
        <w:t xml:space="preserve"> союза</w:t>
      </w:r>
      <w:r w:rsidR="00222433">
        <w:rPr>
          <w:sz w:val="28"/>
          <w:szCs w:val="28"/>
        </w:rPr>
        <w:t xml:space="preserve"> не спешит</w:t>
      </w:r>
      <w:r w:rsidR="00E45EBC" w:rsidRPr="005D4FC4">
        <w:rPr>
          <w:sz w:val="28"/>
          <w:szCs w:val="28"/>
        </w:rPr>
        <w:t xml:space="preserve"> пускать российские компан</w:t>
      </w:r>
      <w:r w:rsidR="005832B5" w:rsidRPr="005D4FC4">
        <w:rPr>
          <w:sz w:val="28"/>
          <w:szCs w:val="28"/>
        </w:rPr>
        <w:t xml:space="preserve">ии на свои рынки. </w:t>
      </w:r>
      <w:r w:rsidR="00E45EBC" w:rsidRPr="005D4FC4">
        <w:rPr>
          <w:sz w:val="28"/>
          <w:szCs w:val="28"/>
        </w:rPr>
        <w:t>Это вызвано в значительной степени политическими рисками и непрозрачностью российских компаний.</w:t>
      </w:r>
      <w:r w:rsidR="00E879B7" w:rsidRPr="005D4FC4">
        <w:rPr>
          <w:sz w:val="28"/>
          <w:szCs w:val="28"/>
        </w:rPr>
        <w:t xml:space="preserve"> Также стоит отметь, что основные отрасли в которые инвестирую</w:t>
      </w:r>
      <w:r w:rsidR="00DA36F5" w:rsidRPr="005D4FC4">
        <w:rPr>
          <w:sz w:val="28"/>
          <w:szCs w:val="28"/>
        </w:rPr>
        <w:t>т</w:t>
      </w:r>
      <w:r w:rsidR="00E879B7" w:rsidRPr="005D4FC4">
        <w:rPr>
          <w:sz w:val="28"/>
          <w:szCs w:val="28"/>
        </w:rPr>
        <w:t xml:space="preserve"> отечественные компании – это энергетика и металлург</w:t>
      </w:r>
      <w:r w:rsidR="00B461E2" w:rsidRPr="005D4FC4">
        <w:rPr>
          <w:sz w:val="28"/>
          <w:szCs w:val="28"/>
        </w:rPr>
        <w:t>ия. Интересы</w:t>
      </w:r>
      <w:r w:rsidR="00DA36F5" w:rsidRPr="005D4FC4">
        <w:rPr>
          <w:sz w:val="28"/>
          <w:szCs w:val="28"/>
        </w:rPr>
        <w:t xml:space="preserve"> России и ЕС здесь могут противоречить друг другу</w:t>
      </w:r>
      <w:r w:rsidR="00B461E2" w:rsidRPr="005D4FC4">
        <w:rPr>
          <w:sz w:val="28"/>
          <w:szCs w:val="28"/>
        </w:rPr>
        <w:t xml:space="preserve">, так как </w:t>
      </w:r>
      <w:r w:rsidR="00586C02" w:rsidRPr="005D4FC4">
        <w:rPr>
          <w:sz w:val="28"/>
          <w:szCs w:val="28"/>
        </w:rPr>
        <w:t>Евросоюз</w:t>
      </w:r>
      <w:r w:rsidR="00B461E2" w:rsidRPr="005D4FC4">
        <w:rPr>
          <w:sz w:val="28"/>
          <w:szCs w:val="28"/>
        </w:rPr>
        <w:t xml:space="preserve"> стремится обеспечить для себя энергетическую безопасность. Также Европе</w:t>
      </w:r>
      <w:r w:rsidR="003135EB" w:rsidRPr="005D4FC4">
        <w:rPr>
          <w:sz w:val="28"/>
          <w:szCs w:val="28"/>
        </w:rPr>
        <w:t>йские компании боятся утечки техн</w:t>
      </w:r>
      <w:r w:rsidR="00B461E2" w:rsidRPr="005D4FC4">
        <w:rPr>
          <w:sz w:val="28"/>
          <w:szCs w:val="28"/>
        </w:rPr>
        <w:t>ологий.</w:t>
      </w:r>
    </w:p>
    <w:p w14:paraId="27061177" w14:textId="1C9391FA" w:rsidR="00E45EBC" w:rsidRDefault="006A259C" w:rsidP="004D2730">
      <w:pPr>
        <w:spacing w:line="360" w:lineRule="auto"/>
        <w:ind w:firstLine="720"/>
        <w:jc w:val="both"/>
        <w:rPr>
          <w:sz w:val="28"/>
          <w:szCs w:val="28"/>
        </w:rPr>
      </w:pPr>
      <w:r w:rsidRPr="005D4FC4">
        <w:rPr>
          <w:sz w:val="28"/>
          <w:szCs w:val="28"/>
        </w:rPr>
        <w:t>России необходимо налаживать сотрудничество с ЕС в области конкурентной политики</w:t>
      </w:r>
      <w:r w:rsidR="00F625BB" w:rsidRPr="005D4FC4">
        <w:rPr>
          <w:sz w:val="28"/>
          <w:szCs w:val="28"/>
        </w:rPr>
        <w:t>. На сегодняшний день</w:t>
      </w:r>
      <w:r w:rsidR="004C29A9" w:rsidRPr="005D4FC4">
        <w:rPr>
          <w:sz w:val="28"/>
          <w:szCs w:val="28"/>
        </w:rPr>
        <w:t xml:space="preserve"> правовой базой отношений России и Европейского Союза</w:t>
      </w:r>
      <w:r w:rsidR="00222433">
        <w:rPr>
          <w:sz w:val="28"/>
          <w:szCs w:val="28"/>
        </w:rPr>
        <w:t>,</w:t>
      </w:r>
      <w:r w:rsidR="004C29A9" w:rsidRPr="005D4FC4">
        <w:rPr>
          <w:sz w:val="28"/>
          <w:szCs w:val="28"/>
        </w:rPr>
        <w:t xml:space="preserve"> в</w:t>
      </w:r>
      <w:r w:rsidR="003135EB" w:rsidRPr="005D4FC4">
        <w:rPr>
          <w:sz w:val="28"/>
          <w:szCs w:val="28"/>
        </w:rPr>
        <w:t xml:space="preserve"> том числе в</w:t>
      </w:r>
      <w:r w:rsidR="004C29A9" w:rsidRPr="005D4FC4">
        <w:rPr>
          <w:sz w:val="28"/>
          <w:szCs w:val="28"/>
        </w:rPr>
        <w:t xml:space="preserve"> области конкурентного права</w:t>
      </w:r>
      <w:r w:rsidR="00222433">
        <w:rPr>
          <w:sz w:val="28"/>
          <w:szCs w:val="28"/>
        </w:rPr>
        <w:t>,</w:t>
      </w:r>
      <w:r w:rsidR="004C29A9" w:rsidRPr="005D4FC4">
        <w:rPr>
          <w:sz w:val="28"/>
          <w:szCs w:val="28"/>
        </w:rPr>
        <w:t xml:space="preserve"> является</w:t>
      </w:r>
      <w:r w:rsidR="00F625BB" w:rsidRPr="005D4FC4">
        <w:rPr>
          <w:sz w:val="28"/>
          <w:szCs w:val="28"/>
        </w:rPr>
        <w:t xml:space="preserve"> Соглашение о партнерстве и сотрудничестве, подписанное в 1994г.</w:t>
      </w:r>
      <w:r w:rsidR="00222433">
        <w:rPr>
          <w:sz w:val="28"/>
          <w:szCs w:val="28"/>
        </w:rPr>
        <w:t xml:space="preserve"> В 2007 г. б</w:t>
      </w:r>
      <w:r w:rsidR="004C29A9" w:rsidRPr="005D4FC4">
        <w:rPr>
          <w:sz w:val="28"/>
          <w:szCs w:val="28"/>
        </w:rPr>
        <w:t>ыло принято решение о начале переговоров по Новому базовому соглашению. </w:t>
      </w:r>
      <w:r w:rsidR="003135EB" w:rsidRPr="005D4FC4">
        <w:rPr>
          <w:sz w:val="28"/>
          <w:szCs w:val="28"/>
        </w:rPr>
        <w:t>На мой взгляд</w:t>
      </w:r>
      <w:r w:rsidR="002960B0" w:rsidRPr="005D4FC4">
        <w:rPr>
          <w:sz w:val="28"/>
          <w:szCs w:val="28"/>
        </w:rPr>
        <w:t>,</w:t>
      </w:r>
      <w:r w:rsidR="003135EB" w:rsidRPr="005D4FC4">
        <w:rPr>
          <w:sz w:val="28"/>
          <w:szCs w:val="28"/>
        </w:rPr>
        <w:t xml:space="preserve"> необходимо строить модел</w:t>
      </w:r>
      <w:r w:rsidR="00553FF4" w:rsidRPr="005D4FC4">
        <w:rPr>
          <w:sz w:val="28"/>
          <w:szCs w:val="28"/>
        </w:rPr>
        <w:t>ь дальнейшего сотрудничества на</w:t>
      </w:r>
      <w:r w:rsidR="003135EB" w:rsidRPr="005D4FC4">
        <w:rPr>
          <w:sz w:val="28"/>
          <w:szCs w:val="28"/>
        </w:rPr>
        <w:t xml:space="preserve"> сближении а</w:t>
      </w:r>
      <w:r w:rsidR="00DA36F5" w:rsidRPr="005D4FC4">
        <w:rPr>
          <w:sz w:val="28"/>
          <w:szCs w:val="28"/>
        </w:rPr>
        <w:t>нтимонопольного законодательства</w:t>
      </w:r>
      <w:r w:rsidR="003135EB" w:rsidRPr="005D4FC4">
        <w:rPr>
          <w:sz w:val="28"/>
          <w:szCs w:val="28"/>
        </w:rPr>
        <w:t xml:space="preserve"> двух регионов, так как это значительно упростит процедуру рассмотрения сделок</w:t>
      </w:r>
      <w:r w:rsidR="00553FF4" w:rsidRPr="005D4FC4">
        <w:rPr>
          <w:sz w:val="28"/>
          <w:szCs w:val="28"/>
        </w:rPr>
        <w:t>, позволит проводить ее в более короткие сроки</w:t>
      </w:r>
      <w:r w:rsidR="003135EB" w:rsidRPr="005D4FC4">
        <w:rPr>
          <w:sz w:val="28"/>
          <w:szCs w:val="28"/>
        </w:rPr>
        <w:t xml:space="preserve"> и позволит избежать </w:t>
      </w:r>
      <w:r w:rsidR="00553FF4" w:rsidRPr="005D4FC4">
        <w:rPr>
          <w:sz w:val="28"/>
          <w:szCs w:val="28"/>
        </w:rPr>
        <w:t>множество трудностей.</w:t>
      </w:r>
      <w:r w:rsidR="003135EB" w:rsidRPr="005D4FC4">
        <w:rPr>
          <w:sz w:val="28"/>
          <w:szCs w:val="28"/>
        </w:rPr>
        <w:t xml:space="preserve"> Также</w:t>
      </w:r>
      <w:r w:rsidR="00553FF4" w:rsidRPr="005D4FC4">
        <w:rPr>
          <w:sz w:val="28"/>
          <w:szCs w:val="28"/>
        </w:rPr>
        <w:t>, стоит отметить, что</w:t>
      </w:r>
      <w:r w:rsidR="003135EB" w:rsidRPr="005D4FC4">
        <w:rPr>
          <w:sz w:val="28"/>
          <w:szCs w:val="28"/>
        </w:rPr>
        <w:t xml:space="preserve"> отечественные компании должны стремиться к большей прозрачности</w:t>
      </w:r>
      <w:r w:rsidR="00DA36F5" w:rsidRPr="005D4FC4">
        <w:rPr>
          <w:sz w:val="28"/>
          <w:szCs w:val="28"/>
        </w:rPr>
        <w:t xml:space="preserve"> операций,</w:t>
      </w:r>
      <w:r w:rsidR="003135EB" w:rsidRPr="005D4FC4">
        <w:rPr>
          <w:sz w:val="28"/>
          <w:szCs w:val="28"/>
        </w:rPr>
        <w:t xml:space="preserve"> статистики и финансовой отчетности.</w:t>
      </w:r>
    </w:p>
    <w:p w14:paraId="567CCF6D" w14:textId="77777777" w:rsidR="004C29A9" w:rsidRDefault="004C29A9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0D2E771F" w14:textId="77777777" w:rsidR="004C29A9" w:rsidRDefault="004C29A9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4A9C90AA" w14:textId="77777777" w:rsidR="004C29A9" w:rsidRDefault="004C29A9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29C3034A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3961FE95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7F7065A7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15F8BB78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023CB18E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6D744895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21117E95" w14:textId="77777777" w:rsidR="0078440F" w:rsidRDefault="0078440F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7366B0A2" w14:textId="77777777" w:rsidR="004C29A9" w:rsidRDefault="004C29A9" w:rsidP="004D2730">
      <w:pPr>
        <w:spacing w:line="360" w:lineRule="auto"/>
        <w:ind w:firstLine="720"/>
        <w:jc w:val="both"/>
        <w:rPr>
          <w:sz w:val="28"/>
          <w:szCs w:val="28"/>
        </w:rPr>
      </w:pPr>
    </w:p>
    <w:p w14:paraId="391BB3D9" w14:textId="77777777" w:rsidR="005541F2" w:rsidRPr="004C29A9" w:rsidRDefault="005541F2" w:rsidP="00EF6BA3">
      <w:pPr>
        <w:spacing w:line="360" w:lineRule="auto"/>
        <w:jc w:val="both"/>
        <w:rPr>
          <w:b/>
          <w:sz w:val="32"/>
          <w:szCs w:val="32"/>
        </w:rPr>
      </w:pPr>
    </w:p>
    <w:p w14:paraId="54DC23D0" w14:textId="6833DB63" w:rsidR="00C07BD1" w:rsidRDefault="006F3F43" w:rsidP="008E5E7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541F2">
        <w:rPr>
          <w:b/>
          <w:sz w:val="32"/>
          <w:szCs w:val="32"/>
          <w:lang w:val="en-US"/>
        </w:rPr>
        <w:t xml:space="preserve">. </w:t>
      </w:r>
      <w:r w:rsidR="005541F2" w:rsidRPr="005541F2">
        <w:rPr>
          <w:b/>
          <w:sz w:val="32"/>
          <w:szCs w:val="32"/>
        </w:rPr>
        <w:t>Перспективы развития ан</w:t>
      </w:r>
      <w:r>
        <w:rPr>
          <w:b/>
          <w:sz w:val="32"/>
          <w:szCs w:val="32"/>
        </w:rPr>
        <w:t xml:space="preserve">тимонопольного законодательства </w:t>
      </w:r>
      <w:r w:rsidR="005541F2" w:rsidRPr="005541F2">
        <w:rPr>
          <w:b/>
          <w:sz w:val="32"/>
          <w:szCs w:val="32"/>
        </w:rPr>
        <w:t>ЕС</w:t>
      </w:r>
    </w:p>
    <w:p w14:paraId="1F8603C3" w14:textId="6BC119EF" w:rsidR="00EF6BA3" w:rsidRPr="005541F2" w:rsidRDefault="00EF6BA3" w:rsidP="008E5E75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3.1.</w:t>
      </w:r>
      <w:r w:rsidR="005541F2">
        <w:rPr>
          <w:rFonts w:ascii="Arial" w:eastAsiaTheme="minorEastAsia" w:hAnsi="Arial" w:cs="Arial"/>
          <w:color w:val="1A1A1A"/>
          <w:sz w:val="26"/>
          <w:szCs w:val="26"/>
          <w:lang w:val="en-US" w:eastAsia="en-US"/>
        </w:rPr>
        <w:t xml:space="preserve"> </w:t>
      </w:r>
      <w:r w:rsidR="005541F2" w:rsidRPr="005541F2">
        <w:rPr>
          <w:b/>
          <w:sz w:val="32"/>
          <w:szCs w:val="32"/>
        </w:rPr>
        <w:t>Недостатки практического применения антим</w:t>
      </w:r>
      <w:r w:rsidR="006F3F43">
        <w:rPr>
          <w:b/>
          <w:sz w:val="32"/>
          <w:szCs w:val="32"/>
        </w:rPr>
        <w:t>онопольного законодательства ЕС</w:t>
      </w:r>
    </w:p>
    <w:p w14:paraId="46BCFA1E" w14:textId="77777777" w:rsidR="00756AB8" w:rsidRPr="00EF6BA3" w:rsidRDefault="00756AB8" w:rsidP="00D96E97">
      <w:pPr>
        <w:jc w:val="both"/>
        <w:rPr>
          <w:b/>
          <w:sz w:val="32"/>
          <w:szCs w:val="32"/>
        </w:rPr>
      </w:pPr>
    </w:p>
    <w:p w14:paraId="7CBCBBC1" w14:textId="5E2DFB35" w:rsidR="008F3E65" w:rsidRDefault="008F3E65" w:rsidP="00D96E97">
      <w:pPr>
        <w:spacing w:line="360" w:lineRule="auto"/>
        <w:ind w:firstLine="720"/>
        <w:jc w:val="both"/>
        <w:rPr>
          <w:sz w:val="28"/>
          <w:szCs w:val="28"/>
        </w:rPr>
      </w:pPr>
      <w:r w:rsidRPr="00FE0540">
        <w:rPr>
          <w:sz w:val="28"/>
          <w:szCs w:val="28"/>
        </w:rPr>
        <w:t>Деятельность Комиссии ЕС</w:t>
      </w:r>
      <w:r>
        <w:rPr>
          <w:sz w:val="28"/>
          <w:szCs w:val="28"/>
        </w:rPr>
        <w:t xml:space="preserve"> нередко</w:t>
      </w:r>
      <w:r w:rsidRPr="00FE0540">
        <w:rPr>
          <w:sz w:val="28"/>
          <w:szCs w:val="28"/>
        </w:rPr>
        <w:t xml:space="preserve"> подвергается критике со стороны Европейского суда.</w:t>
      </w:r>
      <w:r>
        <w:rPr>
          <w:sz w:val="28"/>
          <w:szCs w:val="28"/>
        </w:rPr>
        <w:t xml:space="preserve"> Так, о</w:t>
      </w:r>
      <w:r w:rsidRPr="00FE0540">
        <w:rPr>
          <w:sz w:val="28"/>
          <w:szCs w:val="28"/>
        </w:rPr>
        <w:t>дной из основных проблем является оценка комиссией эффективности</w:t>
      </w:r>
      <w:r w:rsidR="0078440F">
        <w:rPr>
          <w:sz w:val="28"/>
          <w:szCs w:val="28"/>
        </w:rPr>
        <w:t>, достигаемой за счет</w:t>
      </w:r>
      <w:r>
        <w:rPr>
          <w:sz w:val="28"/>
          <w:szCs w:val="28"/>
        </w:rPr>
        <w:t xml:space="preserve"> слияний и поглощений. В случая</w:t>
      </w:r>
      <w:r w:rsidR="002960B0">
        <w:rPr>
          <w:sz w:val="28"/>
          <w:szCs w:val="28"/>
        </w:rPr>
        <w:t>х некоторых</w:t>
      </w:r>
      <w:r>
        <w:rPr>
          <w:sz w:val="28"/>
          <w:szCs w:val="28"/>
        </w:rPr>
        <w:t xml:space="preserve"> конгломера</w:t>
      </w:r>
      <w:r w:rsidR="002960B0">
        <w:rPr>
          <w:sz w:val="28"/>
          <w:szCs w:val="28"/>
        </w:rPr>
        <w:t>тных сделок слияний и поглощений</w:t>
      </w:r>
      <w:r w:rsidR="00FB1547">
        <w:rPr>
          <w:sz w:val="28"/>
          <w:szCs w:val="28"/>
        </w:rPr>
        <w:t xml:space="preserve"> комиссия признавала эффективность от сделки, однако, заявляя, что слияние позволит компании повысить эффективность производства</w:t>
      </w:r>
      <w:r w:rsidR="002960B0">
        <w:rPr>
          <w:sz w:val="28"/>
          <w:szCs w:val="28"/>
        </w:rPr>
        <w:t xml:space="preserve"> на столько, что она сможет</w:t>
      </w:r>
      <w:r w:rsidR="007D2EC6">
        <w:rPr>
          <w:sz w:val="28"/>
          <w:szCs w:val="28"/>
        </w:rPr>
        <w:t xml:space="preserve"> снизить цены, К</w:t>
      </w:r>
      <w:r w:rsidR="00FB1547">
        <w:rPr>
          <w:sz w:val="28"/>
          <w:szCs w:val="28"/>
        </w:rPr>
        <w:t>омиссия признавала сделку нарушающей эффективную конкуренцию.</w:t>
      </w:r>
    </w:p>
    <w:p w14:paraId="2F21A36F" w14:textId="542DC4CB" w:rsidR="00B8116D" w:rsidRDefault="007D2EC6" w:rsidP="00D96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2001 г. К</w:t>
      </w:r>
      <w:r w:rsidR="00FB1547">
        <w:rPr>
          <w:sz w:val="28"/>
          <w:szCs w:val="28"/>
        </w:rPr>
        <w:t>омиссия</w:t>
      </w:r>
      <w:r w:rsidR="00976338">
        <w:rPr>
          <w:sz w:val="28"/>
          <w:szCs w:val="28"/>
        </w:rPr>
        <w:t xml:space="preserve"> з</w:t>
      </w:r>
      <w:r w:rsidR="002960B0">
        <w:rPr>
          <w:sz w:val="28"/>
          <w:szCs w:val="28"/>
        </w:rPr>
        <w:t>аблокировала сделку слияния</w:t>
      </w:r>
      <w:r w:rsidR="00976338">
        <w:rPr>
          <w:sz w:val="28"/>
          <w:szCs w:val="28"/>
        </w:rPr>
        <w:t xml:space="preserve"> компаний</w:t>
      </w:r>
      <w:r w:rsidR="002960B0">
        <w:rPr>
          <w:sz w:val="28"/>
          <w:szCs w:val="28"/>
        </w:rPr>
        <w:t xml:space="preserve"> </w:t>
      </w:r>
      <w:r w:rsidR="002960B0">
        <w:rPr>
          <w:sz w:val="28"/>
          <w:szCs w:val="28"/>
          <w:lang w:val="en-US"/>
        </w:rPr>
        <w:t>General Electric</w:t>
      </w:r>
      <w:r w:rsidR="002960B0" w:rsidRPr="00A159FF">
        <w:rPr>
          <w:sz w:val="28"/>
          <w:szCs w:val="28"/>
          <w:lang w:val="en-US"/>
        </w:rPr>
        <w:t xml:space="preserve"> и </w:t>
      </w:r>
      <w:r w:rsidR="002960B0">
        <w:rPr>
          <w:sz w:val="28"/>
          <w:szCs w:val="28"/>
          <w:lang w:val="en-US"/>
        </w:rPr>
        <w:t>Honeywell</w:t>
      </w:r>
      <w:r w:rsidR="00976338">
        <w:rPr>
          <w:sz w:val="28"/>
          <w:szCs w:val="28"/>
        </w:rPr>
        <w:t>, базирующихся в США</w:t>
      </w:r>
      <w:hyperlink r:id="rId9" w:history="1"/>
      <w:r w:rsidR="00A159FF">
        <w:rPr>
          <w:sz w:val="28"/>
          <w:szCs w:val="28"/>
        </w:rPr>
        <w:t>, одобренную</w:t>
      </w:r>
      <w:r w:rsidR="00976338">
        <w:rPr>
          <w:sz w:val="28"/>
          <w:szCs w:val="28"/>
        </w:rPr>
        <w:t xml:space="preserve"> </w:t>
      </w:r>
      <w:r w:rsidR="00B8116D">
        <w:rPr>
          <w:sz w:val="28"/>
          <w:szCs w:val="28"/>
        </w:rPr>
        <w:t>министерством юстиции</w:t>
      </w:r>
      <w:r w:rsidR="00976338">
        <w:rPr>
          <w:sz w:val="28"/>
          <w:szCs w:val="28"/>
        </w:rPr>
        <w:t xml:space="preserve"> Соединенных Штатов</w:t>
      </w:r>
      <w:r w:rsidR="00976338" w:rsidRPr="00976338">
        <w:rPr>
          <w:sz w:val="28"/>
          <w:szCs w:val="28"/>
        </w:rPr>
        <w:t>.</w:t>
      </w:r>
      <w:r w:rsidR="00D654F0">
        <w:rPr>
          <w:sz w:val="28"/>
          <w:szCs w:val="28"/>
        </w:rPr>
        <w:t xml:space="preserve"> </w:t>
      </w:r>
      <w:r w:rsidR="00B8116D">
        <w:rPr>
          <w:sz w:val="28"/>
          <w:szCs w:val="28"/>
        </w:rPr>
        <w:t xml:space="preserve">Слияние обещало привести к росту производства и сбыта, однако так </w:t>
      </w:r>
      <w:r w:rsidR="00B8116D" w:rsidRPr="003645CE">
        <w:rPr>
          <w:sz w:val="28"/>
          <w:szCs w:val="28"/>
        </w:rPr>
        <w:t xml:space="preserve">как </w:t>
      </w:r>
      <w:r w:rsidR="003645CE" w:rsidRPr="003645CE">
        <w:rPr>
          <w:sz w:val="28"/>
          <w:szCs w:val="28"/>
        </w:rPr>
        <w:t>сделка неизбежно повлияла бы на конкурентную среду в ЕС и состояние</w:t>
      </w:r>
      <w:r w:rsidR="00374DF6">
        <w:rPr>
          <w:sz w:val="28"/>
          <w:szCs w:val="28"/>
        </w:rPr>
        <w:t xml:space="preserve"> европейского бизнеса, она должна была быть одобрена</w:t>
      </w:r>
      <w:r w:rsidR="00B8116D" w:rsidRPr="003645CE">
        <w:rPr>
          <w:sz w:val="28"/>
          <w:szCs w:val="28"/>
        </w:rPr>
        <w:t xml:space="preserve"> Европейской комиссией.</w:t>
      </w:r>
    </w:p>
    <w:p w14:paraId="592C9EAC" w14:textId="77777777" w:rsidR="003A307C" w:rsidRDefault="00056E7A" w:rsidP="005C2F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отказа лежал тот факт, что слияние несет угрозу для конкурентов. Объединившиеся компании </w:t>
      </w:r>
      <w:r>
        <w:rPr>
          <w:sz w:val="28"/>
          <w:szCs w:val="28"/>
          <w:lang w:val="en-US"/>
        </w:rPr>
        <w:t xml:space="preserve">GE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 xml:space="preserve">Honeywell </w:t>
      </w:r>
      <w:r>
        <w:rPr>
          <w:sz w:val="28"/>
          <w:szCs w:val="28"/>
        </w:rPr>
        <w:t>смогли бы предлагать товары по з</w:t>
      </w:r>
      <w:r w:rsidR="003A307C">
        <w:rPr>
          <w:sz w:val="28"/>
          <w:szCs w:val="28"/>
        </w:rPr>
        <w:t xml:space="preserve">аниженной цене в наборе, что </w:t>
      </w:r>
      <w:r>
        <w:rPr>
          <w:sz w:val="28"/>
          <w:szCs w:val="28"/>
        </w:rPr>
        <w:t>могло</w:t>
      </w:r>
      <w:r w:rsidR="003A307C">
        <w:rPr>
          <w:sz w:val="28"/>
          <w:szCs w:val="28"/>
        </w:rPr>
        <w:t xml:space="preserve"> бы</w:t>
      </w:r>
      <w:r>
        <w:rPr>
          <w:sz w:val="28"/>
          <w:szCs w:val="28"/>
        </w:rPr>
        <w:t xml:space="preserve"> нанести урон конкурентам объединившейся компании.</w:t>
      </w:r>
      <w:r w:rsidR="005C2FEF">
        <w:rPr>
          <w:sz w:val="28"/>
          <w:szCs w:val="28"/>
        </w:rPr>
        <w:t xml:space="preserve"> </w:t>
      </w:r>
    </w:p>
    <w:p w14:paraId="57118A22" w14:textId="1FD02126" w:rsidR="008F3E65" w:rsidRDefault="00EA4ED6" w:rsidP="005C2F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Комиссию критиковали за такой подход, обвинив ее в  том, что </w:t>
      </w:r>
      <w:r w:rsidR="005C2FEF">
        <w:rPr>
          <w:sz w:val="28"/>
          <w:szCs w:val="28"/>
        </w:rPr>
        <w:t>она таким образом защищает не конкурентную среду, а конкурентов.</w:t>
      </w:r>
      <w:r w:rsidR="00013775">
        <w:rPr>
          <w:sz w:val="28"/>
          <w:szCs w:val="28"/>
        </w:rPr>
        <w:t xml:space="preserve"> Также блокирование сделки активно лоббировалось прямыми конкурентами. Утверждается, что влияние большого количества лоббистских группировок на принятие решений Европейской комиссией действительно играет существенную роль.</w:t>
      </w:r>
      <w:r w:rsidR="00013775">
        <w:rPr>
          <w:rStyle w:val="FootnoteReference"/>
          <w:sz w:val="28"/>
          <w:szCs w:val="28"/>
        </w:rPr>
        <w:footnoteReference w:id="32"/>
      </w:r>
      <w:r w:rsidR="00013775">
        <w:rPr>
          <w:sz w:val="28"/>
          <w:szCs w:val="28"/>
        </w:rPr>
        <w:t xml:space="preserve"> </w:t>
      </w:r>
    </w:p>
    <w:p w14:paraId="5E5B6E19" w14:textId="57F3C61C" w:rsidR="005C2FEF" w:rsidRPr="00D024B4" w:rsidRDefault="009A13D1" w:rsidP="005C2F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сложных и наиболее важных задач антимонопольной политики является поощрение инновации. </w:t>
      </w:r>
      <w:r w:rsidR="00D654F0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конкуренцию и одновременно развитие инновации – это</w:t>
      </w:r>
      <w:r w:rsidR="00374DF6">
        <w:rPr>
          <w:sz w:val="28"/>
          <w:szCs w:val="28"/>
        </w:rPr>
        <w:t xml:space="preserve"> непростая задача. Так, К</w:t>
      </w:r>
      <w:r w:rsidR="009D25D9">
        <w:rPr>
          <w:sz w:val="28"/>
          <w:szCs w:val="28"/>
        </w:rPr>
        <w:t>омиссию нередко обвиняют в том, что она</w:t>
      </w:r>
      <w:r>
        <w:rPr>
          <w:sz w:val="28"/>
          <w:szCs w:val="28"/>
        </w:rPr>
        <w:t xml:space="preserve"> видит</w:t>
      </w:r>
      <w:r w:rsidR="003A307C">
        <w:rPr>
          <w:sz w:val="28"/>
          <w:szCs w:val="28"/>
        </w:rPr>
        <w:t xml:space="preserve"> в инновации угрозу конкуренции: еще до того как благодаря новым технологиям появляются новые рынки, конк</w:t>
      </w:r>
      <w:r w:rsidR="00374DF6">
        <w:rPr>
          <w:sz w:val="28"/>
          <w:szCs w:val="28"/>
        </w:rPr>
        <w:t>уренция на которых пока слаба, К</w:t>
      </w:r>
      <w:r w:rsidR="003A307C">
        <w:rPr>
          <w:sz w:val="28"/>
          <w:szCs w:val="28"/>
        </w:rPr>
        <w:t xml:space="preserve">омиссия видит в них угрозу.  </w:t>
      </w:r>
    </w:p>
    <w:p w14:paraId="56ED13F7" w14:textId="77E1AE11" w:rsidR="008F3E65" w:rsidRDefault="008F3E65" w:rsidP="008F3E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Австрийский экономист Джозеф Шумпетер подчеркивал необходимость монополий для инновационного развития. </w:t>
      </w:r>
      <w:r w:rsidR="00374DF6">
        <w:rPr>
          <w:sz w:val="28"/>
          <w:szCs w:val="28"/>
        </w:rPr>
        <w:t>Он утверждал, что э</w:t>
      </w:r>
      <w:r>
        <w:rPr>
          <w:sz w:val="28"/>
          <w:szCs w:val="28"/>
        </w:rPr>
        <w:t>то происходит по той причине, что компании не мотивированы совершенствовать технологии, зная, что конкуренты, которые не понесли издержки на НИОКР, могут скопировать новые технологии и новые товары. Таким образом, компании склонны инвестировать в НИОКР лишь в том случае, если изобретение защищается правом интеллект</w:t>
      </w:r>
      <w:r w:rsidR="00374DF6">
        <w:rPr>
          <w:sz w:val="28"/>
          <w:szCs w:val="28"/>
        </w:rPr>
        <w:t>уальной собственности, например</w:t>
      </w:r>
      <w:r>
        <w:rPr>
          <w:sz w:val="28"/>
          <w:szCs w:val="28"/>
        </w:rPr>
        <w:t xml:space="preserve"> на него выдается патент. Также Шумпетер отмечал, что компания склонна инвестировать в инновации, если она доминируют на рынке. Господствующая на рынке компания может позволить себе с большей уверенность</w:t>
      </w:r>
      <w:r w:rsidR="00374DF6">
        <w:rPr>
          <w:sz w:val="28"/>
          <w:szCs w:val="28"/>
        </w:rPr>
        <w:t>ю</w:t>
      </w:r>
      <w:r w:rsidR="003A6F6F">
        <w:rPr>
          <w:sz w:val="28"/>
          <w:szCs w:val="28"/>
        </w:rPr>
        <w:t>,</w:t>
      </w:r>
      <w:r>
        <w:rPr>
          <w:sz w:val="28"/>
          <w:szCs w:val="28"/>
        </w:rPr>
        <w:t xml:space="preserve"> нежели мелкие и средние компании</w:t>
      </w:r>
      <w:r w:rsidR="003A6F6F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планировать стратегию в долгосрочной перспективе, следовательно она с большей вероятностью будет производить новые виды товаров и услуг. В итоге Шумпетер пришел к выводу, что государству необходимо присутствие небольшого числа господствующих фирм на рынке, поскольку</w:t>
      </w:r>
      <w:r w:rsidR="003A6F6F">
        <w:rPr>
          <w:sz w:val="28"/>
          <w:szCs w:val="28"/>
        </w:rPr>
        <w:t xml:space="preserve"> они стимулируют </w:t>
      </w:r>
      <w:r w:rsidR="003A6F6F">
        <w:rPr>
          <w:sz w:val="28"/>
          <w:szCs w:val="28"/>
        </w:rPr>
        <w:lastRenderedPageBreak/>
        <w:t>инновационное развитие, а</w:t>
      </w:r>
      <w:r>
        <w:rPr>
          <w:sz w:val="28"/>
          <w:szCs w:val="28"/>
        </w:rPr>
        <w:t xml:space="preserve"> инновации являются двигателем экономического прогресса.</w:t>
      </w:r>
    </w:p>
    <w:p w14:paraId="6023CDDC" w14:textId="6C1191EE" w:rsidR="008F3E65" w:rsidRDefault="008F3E65" w:rsidP="008F3E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современная экономическая теория оспаривает доводы Шумпетера. Современные экономисты утверждают, что конкуренция необходима для стимулирования инновации и разработки новой продукции.</w:t>
      </w:r>
      <w:r w:rsidRPr="00553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358A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конкуренция способствует распространению успешных изобретений, что</w:t>
      </w:r>
      <w:r w:rsidR="001A358A">
        <w:rPr>
          <w:sz w:val="28"/>
          <w:szCs w:val="28"/>
        </w:rPr>
        <w:t>,</w:t>
      </w:r>
      <w:r>
        <w:rPr>
          <w:sz w:val="28"/>
          <w:szCs w:val="28"/>
        </w:rPr>
        <w:t xml:space="preserve"> в свою очередь</w:t>
      </w:r>
      <w:r w:rsidR="001A358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для компаний постоянным стимулом к разработке все более усовершенствованной продукции.</w:t>
      </w:r>
    </w:p>
    <w:p w14:paraId="07BA325A" w14:textId="046E578F" w:rsidR="009D25D9" w:rsidRDefault="001A358A" w:rsidP="009D25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</w:t>
      </w:r>
      <w:r w:rsidR="009D25D9">
        <w:rPr>
          <w:sz w:val="28"/>
          <w:szCs w:val="28"/>
        </w:rPr>
        <w:t xml:space="preserve">пециалисты утверждают, что на сделки слияний и поглощений особое воздействие имеет политический </w:t>
      </w:r>
      <w:r w:rsidR="00CC6D97">
        <w:rPr>
          <w:sz w:val="28"/>
          <w:szCs w:val="28"/>
        </w:rPr>
        <w:t>фактор. Причем</w:t>
      </w:r>
      <w:r>
        <w:rPr>
          <w:sz w:val="28"/>
          <w:szCs w:val="28"/>
        </w:rPr>
        <w:t xml:space="preserve"> с такого рода проблемами сталкиваются</w:t>
      </w:r>
      <w:r w:rsidR="00CC6D97">
        <w:rPr>
          <w:sz w:val="28"/>
          <w:szCs w:val="28"/>
        </w:rPr>
        <w:t xml:space="preserve"> не только отечественные компании, о которых говорилось в предыдущей главе.</w:t>
      </w:r>
    </w:p>
    <w:p w14:paraId="0916C1D4" w14:textId="035B2AE0" w:rsidR="0056294C" w:rsidRDefault="001A358A" w:rsidP="009D25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="0056294C">
        <w:rPr>
          <w:sz w:val="28"/>
          <w:szCs w:val="28"/>
        </w:rPr>
        <w:t xml:space="preserve"> например, Швеция и Финляндия</w:t>
      </w:r>
      <w:r w:rsidR="002B322B">
        <w:rPr>
          <w:sz w:val="28"/>
          <w:szCs w:val="28"/>
        </w:rPr>
        <w:t xml:space="preserve"> критикуют решения К</w:t>
      </w:r>
      <w:r>
        <w:rPr>
          <w:sz w:val="28"/>
          <w:szCs w:val="28"/>
        </w:rPr>
        <w:t>омиссию в отношении небольших стран-членов</w:t>
      </w:r>
      <w:r w:rsidR="002B322B">
        <w:rPr>
          <w:sz w:val="28"/>
          <w:szCs w:val="28"/>
        </w:rPr>
        <w:t>. В 2000 г. К</w:t>
      </w:r>
      <w:r w:rsidR="0056294C">
        <w:rPr>
          <w:sz w:val="28"/>
          <w:szCs w:val="28"/>
        </w:rPr>
        <w:t xml:space="preserve">омиссия </w:t>
      </w:r>
      <w:r w:rsidR="002B322B">
        <w:rPr>
          <w:sz w:val="28"/>
          <w:szCs w:val="28"/>
        </w:rPr>
        <w:t>заблокировала</w:t>
      </w:r>
      <w:r w:rsidR="0056294C">
        <w:rPr>
          <w:sz w:val="28"/>
          <w:szCs w:val="28"/>
        </w:rPr>
        <w:t xml:space="preserve"> сделку слияния шведски</w:t>
      </w:r>
      <w:r w:rsidR="00D96171">
        <w:rPr>
          <w:sz w:val="28"/>
          <w:szCs w:val="28"/>
        </w:rPr>
        <w:t>х</w:t>
      </w:r>
      <w:r w:rsidR="0056294C">
        <w:rPr>
          <w:sz w:val="28"/>
          <w:szCs w:val="28"/>
        </w:rPr>
        <w:t xml:space="preserve">  компаний </w:t>
      </w:r>
      <w:r w:rsidR="0056294C">
        <w:rPr>
          <w:sz w:val="28"/>
          <w:szCs w:val="28"/>
          <w:lang w:val="en-US"/>
        </w:rPr>
        <w:t xml:space="preserve">Volvo </w:t>
      </w:r>
      <w:r w:rsidR="0056294C">
        <w:rPr>
          <w:sz w:val="28"/>
          <w:szCs w:val="28"/>
        </w:rPr>
        <w:t xml:space="preserve">и </w:t>
      </w:r>
      <w:r w:rsidR="0056294C" w:rsidRPr="00D96171">
        <w:rPr>
          <w:sz w:val="28"/>
          <w:szCs w:val="28"/>
        </w:rPr>
        <w:t>Scania.</w:t>
      </w:r>
      <w:r w:rsidR="00D96171" w:rsidRPr="00D96171">
        <w:rPr>
          <w:sz w:val="28"/>
          <w:szCs w:val="28"/>
        </w:rPr>
        <w:t xml:space="preserve"> Она объяснила свое решение </w:t>
      </w:r>
      <w:r w:rsidR="00D96171">
        <w:rPr>
          <w:sz w:val="28"/>
          <w:szCs w:val="28"/>
        </w:rPr>
        <w:t xml:space="preserve">тем, что </w:t>
      </w:r>
      <w:r w:rsidR="002B322B">
        <w:rPr>
          <w:sz w:val="28"/>
          <w:szCs w:val="28"/>
        </w:rPr>
        <w:t>объединившаяся</w:t>
      </w:r>
      <w:r w:rsidR="00EC7B9F">
        <w:rPr>
          <w:sz w:val="28"/>
          <w:szCs w:val="28"/>
        </w:rPr>
        <w:t xml:space="preserve"> компания будет лидером сразу на нескольких рынках, в том числе на</w:t>
      </w:r>
      <w:r w:rsidR="00230892">
        <w:rPr>
          <w:sz w:val="28"/>
          <w:szCs w:val="28"/>
        </w:rPr>
        <w:t xml:space="preserve"> рынке грузовых автомобилей Швеции, Норвегии, Финляндии и Ирландии</w:t>
      </w:r>
      <w:r w:rsidR="00EC7B9F">
        <w:rPr>
          <w:sz w:val="28"/>
          <w:szCs w:val="28"/>
        </w:rPr>
        <w:t>.</w:t>
      </w:r>
      <w:r w:rsidR="003B70EA">
        <w:rPr>
          <w:rStyle w:val="FootnoteReference"/>
          <w:sz w:val="28"/>
          <w:szCs w:val="28"/>
        </w:rPr>
        <w:footnoteReference w:id="33"/>
      </w:r>
    </w:p>
    <w:p w14:paraId="53DFEAC9" w14:textId="1243BE88" w:rsidR="00EC7B9F" w:rsidRDefault="002B322B" w:rsidP="009D25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Такое вмешательство со стороны К</w:t>
      </w:r>
      <w:r w:rsidR="00EC7B9F">
        <w:rPr>
          <w:sz w:val="28"/>
          <w:szCs w:val="28"/>
        </w:rPr>
        <w:t>омиссии</w:t>
      </w:r>
      <w:r w:rsidR="00F52155">
        <w:rPr>
          <w:sz w:val="28"/>
          <w:szCs w:val="28"/>
        </w:rPr>
        <w:t xml:space="preserve"> вызвало споры </w:t>
      </w:r>
      <w:r>
        <w:rPr>
          <w:sz w:val="28"/>
          <w:szCs w:val="28"/>
        </w:rPr>
        <w:t>о</w:t>
      </w:r>
      <w:r w:rsidR="00F52155">
        <w:rPr>
          <w:sz w:val="28"/>
          <w:szCs w:val="28"/>
        </w:rPr>
        <w:t xml:space="preserve"> антимонопольном</w:t>
      </w:r>
      <w:r>
        <w:rPr>
          <w:sz w:val="28"/>
          <w:szCs w:val="28"/>
        </w:rPr>
        <w:t xml:space="preserve"> законодательстве Европейского С</w:t>
      </w:r>
      <w:r w:rsidR="00F52155">
        <w:rPr>
          <w:sz w:val="28"/>
          <w:szCs w:val="28"/>
        </w:rPr>
        <w:t>оюза</w:t>
      </w:r>
      <w:r w:rsidR="00D06CFA">
        <w:rPr>
          <w:sz w:val="28"/>
          <w:szCs w:val="28"/>
        </w:rPr>
        <w:t>. Представители небольших стран-членов ЕС объявили, что конкуре</w:t>
      </w:r>
      <w:r>
        <w:rPr>
          <w:sz w:val="28"/>
          <w:szCs w:val="28"/>
        </w:rPr>
        <w:t>нтная политика, осуществляемая Е</w:t>
      </w:r>
      <w:r w:rsidR="00D06CFA">
        <w:rPr>
          <w:sz w:val="28"/>
          <w:szCs w:val="28"/>
        </w:rPr>
        <w:t>вропейской комисс</w:t>
      </w:r>
      <w:r w:rsidR="00B47E92">
        <w:rPr>
          <w:sz w:val="28"/>
          <w:szCs w:val="28"/>
        </w:rPr>
        <w:t>ией, фактически делает невозм</w:t>
      </w:r>
      <w:r w:rsidR="00D06CFA">
        <w:rPr>
          <w:sz w:val="28"/>
          <w:szCs w:val="28"/>
        </w:rPr>
        <w:t>ожными</w:t>
      </w:r>
      <w:r w:rsidR="00B47E92">
        <w:rPr>
          <w:sz w:val="28"/>
          <w:szCs w:val="28"/>
        </w:rPr>
        <w:t xml:space="preserve"> слияния и поглощения в маленьких странах, не позволяя им таким образом достичь лидерства на рынке.</w:t>
      </w:r>
      <w:r w:rsidR="00D06CFA">
        <w:rPr>
          <w:sz w:val="28"/>
          <w:szCs w:val="28"/>
        </w:rPr>
        <w:t xml:space="preserve"> </w:t>
      </w:r>
    </w:p>
    <w:p w14:paraId="4E28C4C9" w14:textId="7CE0336A" w:rsidR="00BB23E5" w:rsidRDefault="00BB23E5" w:rsidP="009D25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Еврокомиссия</w:t>
      </w:r>
      <w:r w:rsidR="002E122F">
        <w:rPr>
          <w:sz w:val="28"/>
          <w:szCs w:val="28"/>
        </w:rPr>
        <w:t>,</w:t>
      </w:r>
      <w:r>
        <w:rPr>
          <w:sz w:val="28"/>
          <w:szCs w:val="28"/>
        </w:rPr>
        <w:t xml:space="preserve"> в свою очередь</w:t>
      </w:r>
      <w:r w:rsidR="002E122F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отвечает, что ее обязанность заключается в поддержании конкуренции и защите прав потребителе</w:t>
      </w:r>
      <w:r w:rsidR="002E122F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="002B322B">
        <w:rPr>
          <w:sz w:val="28"/>
          <w:szCs w:val="28"/>
        </w:rPr>
        <w:t>Также К</w:t>
      </w:r>
      <w:r w:rsidR="002E122F">
        <w:rPr>
          <w:sz w:val="28"/>
          <w:szCs w:val="28"/>
        </w:rPr>
        <w:t>омиссия отмечает,</w:t>
      </w:r>
      <w:r w:rsidR="00635E23">
        <w:rPr>
          <w:sz w:val="28"/>
          <w:szCs w:val="28"/>
        </w:rPr>
        <w:t xml:space="preserve"> что в случае трансграничных слияния и поглощений нет </w:t>
      </w:r>
      <w:r w:rsidR="00635E23">
        <w:rPr>
          <w:sz w:val="28"/>
          <w:szCs w:val="28"/>
        </w:rPr>
        <w:lastRenderedPageBreak/>
        <w:t>такой угрозы конкурентной среде, поэтому он</w:t>
      </w:r>
      <w:r w:rsidR="002E122F">
        <w:rPr>
          <w:sz w:val="28"/>
          <w:szCs w:val="28"/>
        </w:rPr>
        <w:t>и являются альтернативой слияниям</w:t>
      </w:r>
      <w:r w:rsidR="00635E23">
        <w:rPr>
          <w:sz w:val="28"/>
          <w:szCs w:val="28"/>
        </w:rPr>
        <w:t xml:space="preserve"> компаний внутри страны.</w:t>
      </w:r>
    </w:p>
    <w:p w14:paraId="4484520C" w14:textId="5D401885" w:rsidR="00635E23" w:rsidRDefault="00635E23" w:rsidP="009D25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проблема</w:t>
      </w:r>
      <w:r>
        <w:rPr>
          <w:sz w:val="28"/>
          <w:szCs w:val="28"/>
          <w:lang w:val="en-US"/>
        </w:rPr>
        <w:t xml:space="preserve"> </w:t>
      </w:r>
      <w:r w:rsidR="003B70EA">
        <w:rPr>
          <w:sz w:val="28"/>
          <w:szCs w:val="28"/>
        </w:rPr>
        <w:t>напрямую связана с промышленной политико</w:t>
      </w:r>
      <w:r w:rsidR="002B322B">
        <w:rPr>
          <w:sz w:val="28"/>
          <w:szCs w:val="28"/>
        </w:rPr>
        <w:t>й отдельных стран Европейского С</w:t>
      </w:r>
      <w:r w:rsidR="003B70EA">
        <w:rPr>
          <w:sz w:val="28"/>
          <w:szCs w:val="28"/>
        </w:rPr>
        <w:t>оюза.</w:t>
      </w:r>
      <w:r w:rsidR="00F34A34">
        <w:rPr>
          <w:sz w:val="28"/>
          <w:szCs w:val="28"/>
        </w:rPr>
        <w:t xml:space="preserve"> Промышл</w:t>
      </w:r>
      <w:r w:rsidR="00755905">
        <w:rPr>
          <w:sz w:val="28"/>
          <w:szCs w:val="28"/>
        </w:rPr>
        <w:t>енная политика подразумевает вмешательство в бизнес государства, преследуя глав</w:t>
      </w:r>
      <w:r w:rsidR="002100A6">
        <w:rPr>
          <w:sz w:val="28"/>
          <w:szCs w:val="28"/>
        </w:rPr>
        <w:t>ным образом развитие и рост вторичного сектора экономики. Государство предпринимает меры, направленные на повышение конкурентоспособности отечественной промышленности</w:t>
      </w:r>
      <w:r w:rsidR="002E122F">
        <w:rPr>
          <w:sz w:val="28"/>
          <w:szCs w:val="28"/>
        </w:rPr>
        <w:t>,</w:t>
      </w:r>
      <w:r w:rsidR="00CC2932">
        <w:rPr>
          <w:sz w:val="28"/>
          <w:szCs w:val="28"/>
        </w:rPr>
        <w:t xml:space="preserve"> путем</w:t>
      </w:r>
      <w:r w:rsidR="00A73556">
        <w:rPr>
          <w:sz w:val="28"/>
          <w:szCs w:val="28"/>
        </w:rPr>
        <w:t xml:space="preserve"> </w:t>
      </w:r>
      <w:r w:rsidR="002E122F">
        <w:rPr>
          <w:sz w:val="28"/>
          <w:szCs w:val="28"/>
        </w:rPr>
        <w:t>государственного субсидирования</w:t>
      </w:r>
      <w:r w:rsidR="00A73556">
        <w:rPr>
          <w:sz w:val="28"/>
          <w:szCs w:val="28"/>
        </w:rPr>
        <w:t xml:space="preserve"> </w:t>
      </w:r>
      <w:r w:rsidR="002E122F">
        <w:rPr>
          <w:sz w:val="28"/>
          <w:szCs w:val="28"/>
        </w:rPr>
        <w:t>или</w:t>
      </w:r>
      <w:r w:rsidR="00CC2932">
        <w:rPr>
          <w:sz w:val="28"/>
          <w:szCs w:val="28"/>
        </w:rPr>
        <w:t xml:space="preserve"> стр</w:t>
      </w:r>
      <w:r w:rsidR="00A73556">
        <w:rPr>
          <w:sz w:val="28"/>
          <w:szCs w:val="28"/>
        </w:rPr>
        <w:t>уктурных изменений, проводимых с целью создания так называемых национальных лидеров</w:t>
      </w:r>
      <w:r w:rsidR="00104A2A">
        <w:rPr>
          <w:sz w:val="28"/>
          <w:szCs w:val="28"/>
        </w:rPr>
        <w:t>.</w:t>
      </w:r>
    </w:p>
    <w:p w14:paraId="1ACB8F57" w14:textId="17F4ABD4" w:rsidR="00104A2A" w:rsidRDefault="00104A2A" w:rsidP="009D25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деле о слиянии компаний </w:t>
      </w:r>
      <w:r>
        <w:rPr>
          <w:sz w:val="28"/>
          <w:szCs w:val="28"/>
          <w:lang w:val="en-US"/>
        </w:rPr>
        <w:t xml:space="preserve">Volvo </w:t>
      </w:r>
      <w:r>
        <w:rPr>
          <w:sz w:val="28"/>
          <w:szCs w:val="28"/>
        </w:rPr>
        <w:t xml:space="preserve">и </w:t>
      </w:r>
      <w:proofErr w:type="spellStart"/>
      <w:r w:rsidRPr="00D96171">
        <w:rPr>
          <w:sz w:val="28"/>
          <w:szCs w:val="28"/>
        </w:rPr>
        <w:t>Scania</w:t>
      </w:r>
      <w:proofErr w:type="spellEnd"/>
      <w:r>
        <w:rPr>
          <w:sz w:val="28"/>
          <w:szCs w:val="28"/>
        </w:rPr>
        <w:t xml:space="preserve"> правительство Швеции акт</w:t>
      </w:r>
      <w:r w:rsidR="002E122F">
        <w:rPr>
          <w:sz w:val="28"/>
          <w:szCs w:val="28"/>
        </w:rPr>
        <w:t>ивно поддерживало сделку</w:t>
      </w:r>
      <w:r>
        <w:rPr>
          <w:sz w:val="28"/>
          <w:szCs w:val="28"/>
        </w:rPr>
        <w:t xml:space="preserve"> в надежде создать второго по величине производителя тяжелых грузовых машин в мире.</w:t>
      </w:r>
    </w:p>
    <w:p w14:paraId="2F32C3D6" w14:textId="2AD1FA48" w:rsidR="007D234F" w:rsidRDefault="00104A2A" w:rsidP="007D23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Похожая ситуация </w:t>
      </w:r>
      <w:r w:rsidR="00056235">
        <w:rPr>
          <w:sz w:val="28"/>
          <w:szCs w:val="28"/>
        </w:rPr>
        <w:t>сложилась</w:t>
      </w:r>
      <w:r w:rsidR="002B322B">
        <w:rPr>
          <w:sz w:val="28"/>
          <w:szCs w:val="28"/>
        </w:rPr>
        <w:t xml:space="preserve"> в 2011 г., когда К</w:t>
      </w:r>
      <w:r>
        <w:rPr>
          <w:sz w:val="28"/>
          <w:szCs w:val="28"/>
        </w:rPr>
        <w:t xml:space="preserve">омиссия заблокировала слияние </w:t>
      </w:r>
      <w:r w:rsidR="007D234F">
        <w:rPr>
          <w:sz w:val="28"/>
          <w:szCs w:val="28"/>
        </w:rPr>
        <w:t xml:space="preserve">двух греческих авиакомпаний </w:t>
      </w:r>
      <w:r w:rsidR="007D234F">
        <w:rPr>
          <w:sz w:val="28"/>
          <w:szCs w:val="28"/>
          <w:lang w:val="en-US"/>
        </w:rPr>
        <w:t>Aegean Airlines и</w:t>
      </w:r>
      <w:r w:rsidR="007D234F" w:rsidRPr="007D234F">
        <w:rPr>
          <w:sz w:val="28"/>
          <w:szCs w:val="28"/>
          <w:lang w:val="en-US"/>
        </w:rPr>
        <w:t xml:space="preserve"> Olympic Air, </w:t>
      </w:r>
      <w:r w:rsidR="00631B0C">
        <w:rPr>
          <w:sz w:val="28"/>
          <w:szCs w:val="28"/>
        </w:rPr>
        <w:t>несмотря на то</w:t>
      </w:r>
      <w:r w:rsidR="007D234F">
        <w:rPr>
          <w:sz w:val="28"/>
          <w:szCs w:val="28"/>
        </w:rPr>
        <w:t xml:space="preserve"> что правительство Гре</w:t>
      </w:r>
      <w:r w:rsidR="00DD5C28">
        <w:rPr>
          <w:sz w:val="28"/>
          <w:szCs w:val="28"/>
        </w:rPr>
        <w:t>ции активно поддерживало сделку, утверждая, что от ее исхода зависит существование компаний.</w:t>
      </w:r>
      <w:r w:rsidR="00DD5C28">
        <w:rPr>
          <w:rStyle w:val="FootnoteReference"/>
          <w:sz w:val="28"/>
          <w:szCs w:val="28"/>
        </w:rPr>
        <w:footnoteReference w:id="34"/>
      </w:r>
      <w:r w:rsidR="00FA449F">
        <w:rPr>
          <w:sz w:val="28"/>
          <w:szCs w:val="28"/>
        </w:rPr>
        <w:t xml:space="preserve"> Комиссия</w:t>
      </w:r>
      <w:r w:rsidR="00DF07D3">
        <w:rPr>
          <w:sz w:val="28"/>
          <w:szCs w:val="28"/>
        </w:rPr>
        <w:t xml:space="preserve"> же</w:t>
      </w:r>
      <w:r w:rsidR="00FA449F">
        <w:rPr>
          <w:sz w:val="28"/>
          <w:szCs w:val="28"/>
        </w:rPr>
        <w:t xml:space="preserve"> пришла к выводу, что образовавшаяся компания практически станет монополистом на рынке ави</w:t>
      </w:r>
      <w:r w:rsidR="00BC557F">
        <w:rPr>
          <w:sz w:val="28"/>
          <w:szCs w:val="28"/>
        </w:rPr>
        <w:t>аперевозок Греции, так как вместе компании контролируют более 90</w:t>
      </w:r>
      <w:r w:rsidR="00BC557F">
        <w:rPr>
          <w:sz w:val="28"/>
          <w:szCs w:val="28"/>
          <w:lang w:val="en-US"/>
        </w:rPr>
        <w:t>%</w:t>
      </w:r>
      <w:r w:rsidR="00824B9F">
        <w:rPr>
          <w:sz w:val="28"/>
          <w:szCs w:val="28"/>
          <w:lang w:val="en-US"/>
        </w:rPr>
        <w:t xml:space="preserve"> </w:t>
      </w:r>
      <w:r w:rsidR="00824B9F">
        <w:rPr>
          <w:sz w:val="28"/>
          <w:szCs w:val="28"/>
        </w:rPr>
        <w:t>греческого рынка авиаперевозок</w:t>
      </w:r>
      <w:r w:rsidR="006D46F5">
        <w:rPr>
          <w:sz w:val="28"/>
          <w:szCs w:val="28"/>
        </w:rPr>
        <w:t>.</w:t>
      </w:r>
      <w:r w:rsidR="00BC557F">
        <w:rPr>
          <w:sz w:val="28"/>
          <w:szCs w:val="28"/>
        </w:rPr>
        <w:t xml:space="preserve"> Это</w:t>
      </w:r>
      <w:r w:rsidR="00DF07D3">
        <w:rPr>
          <w:sz w:val="28"/>
          <w:szCs w:val="28"/>
        </w:rPr>
        <w:t xml:space="preserve"> </w:t>
      </w:r>
      <w:r w:rsidR="00BC557F">
        <w:rPr>
          <w:sz w:val="28"/>
          <w:szCs w:val="28"/>
        </w:rPr>
        <w:t>приведет к росту тарифов для пассажиров.</w:t>
      </w:r>
      <w:r w:rsidR="00DF07D3">
        <w:rPr>
          <w:sz w:val="28"/>
          <w:szCs w:val="28"/>
        </w:rPr>
        <w:t xml:space="preserve"> В то же время условия, предложенные</w:t>
      </w:r>
      <w:r w:rsidR="006D46F5">
        <w:rPr>
          <w:sz w:val="28"/>
          <w:szCs w:val="28"/>
        </w:rPr>
        <w:t xml:space="preserve"> компаниями</w:t>
      </w:r>
      <w:r w:rsidR="00DF07D3">
        <w:rPr>
          <w:sz w:val="28"/>
          <w:szCs w:val="28"/>
        </w:rPr>
        <w:t xml:space="preserve"> для сохранения конкуренции</w:t>
      </w:r>
      <w:r w:rsidR="006D46F5">
        <w:rPr>
          <w:sz w:val="28"/>
          <w:szCs w:val="28"/>
        </w:rPr>
        <w:t>,</w:t>
      </w:r>
      <w:r w:rsidR="002B322B">
        <w:rPr>
          <w:sz w:val="28"/>
          <w:szCs w:val="28"/>
        </w:rPr>
        <w:t xml:space="preserve"> К</w:t>
      </w:r>
      <w:r w:rsidR="00DF07D3">
        <w:rPr>
          <w:sz w:val="28"/>
          <w:szCs w:val="28"/>
        </w:rPr>
        <w:t>омиссия нашла недостаточными</w:t>
      </w:r>
      <w:r w:rsidR="006D46F5">
        <w:rPr>
          <w:sz w:val="28"/>
          <w:szCs w:val="28"/>
        </w:rPr>
        <w:t xml:space="preserve"> для защиты интересов потребителей.</w:t>
      </w:r>
    </w:p>
    <w:p w14:paraId="4D315983" w14:textId="0786300B" w:rsidR="008F55F7" w:rsidRDefault="00135D41" w:rsidP="007D23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Вышеупомянутые дела, заблокированные комиссией</w:t>
      </w:r>
      <w:r w:rsidR="00DF07D3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общие черты</w:t>
      </w:r>
      <w:r w:rsidR="00BF6874">
        <w:rPr>
          <w:sz w:val="28"/>
          <w:szCs w:val="28"/>
        </w:rPr>
        <w:t>: они  активно поддерживались национальными правительствами и</w:t>
      </w:r>
      <w:r>
        <w:rPr>
          <w:sz w:val="28"/>
          <w:szCs w:val="28"/>
        </w:rPr>
        <w:t xml:space="preserve"> были направлены на создание </w:t>
      </w:r>
      <w:r w:rsidR="00DF07D3">
        <w:rPr>
          <w:sz w:val="28"/>
          <w:szCs w:val="28"/>
        </w:rPr>
        <w:t>компаний-</w:t>
      </w:r>
      <w:r w:rsidR="00424D6F">
        <w:rPr>
          <w:sz w:val="28"/>
          <w:szCs w:val="28"/>
        </w:rPr>
        <w:t>лидеров на своем рынке</w:t>
      </w:r>
      <w:r w:rsidR="002F6082">
        <w:rPr>
          <w:sz w:val="28"/>
          <w:szCs w:val="28"/>
        </w:rPr>
        <w:t>.</w:t>
      </w:r>
      <w:r w:rsidR="00BF6874">
        <w:rPr>
          <w:rStyle w:val="FootnoteReference"/>
          <w:sz w:val="28"/>
          <w:szCs w:val="28"/>
        </w:rPr>
        <w:footnoteReference w:id="35"/>
      </w:r>
      <w:r w:rsidR="00DF07D3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конкурентная политика ЕС не ставит перед собой цели сделать европейские компании лидерами</w:t>
      </w:r>
      <w:r w:rsidR="00424D6F">
        <w:rPr>
          <w:sz w:val="28"/>
          <w:szCs w:val="28"/>
        </w:rPr>
        <w:t xml:space="preserve"> на мировом рынке</w:t>
      </w:r>
      <w:r>
        <w:rPr>
          <w:sz w:val="28"/>
          <w:szCs w:val="28"/>
        </w:rPr>
        <w:t>, но и не стремить препятс</w:t>
      </w:r>
      <w:r w:rsidR="00424D6F">
        <w:rPr>
          <w:sz w:val="28"/>
          <w:szCs w:val="28"/>
        </w:rPr>
        <w:t xml:space="preserve">твовать </w:t>
      </w:r>
      <w:r w:rsidR="00424D6F">
        <w:rPr>
          <w:sz w:val="28"/>
          <w:szCs w:val="28"/>
        </w:rPr>
        <w:lastRenderedPageBreak/>
        <w:t>этому до тех пор</w:t>
      </w:r>
      <w:r>
        <w:rPr>
          <w:sz w:val="28"/>
          <w:szCs w:val="28"/>
        </w:rPr>
        <w:t xml:space="preserve">, </w:t>
      </w:r>
      <w:r w:rsidR="00424D6F">
        <w:rPr>
          <w:sz w:val="28"/>
          <w:szCs w:val="28"/>
        </w:rPr>
        <w:t xml:space="preserve">пока лидерство не наносит ущерб конкуренции и не нарушает интересы потребителей. </w:t>
      </w:r>
    </w:p>
    <w:p w14:paraId="7CAF6F09" w14:textId="1D9E9E01" w:rsidR="00A81B4F" w:rsidRPr="00642C36" w:rsidRDefault="00DF07D3" w:rsidP="00A81B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</w:t>
      </w:r>
      <w:r w:rsidR="00A81B4F">
        <w:rPr>
          <w:sz w:val="28"/>
          <w:szCs w:val="28"/>
        </w:rPr>
        <w:t xml:space="preserve"> с этой проблемой сталкиваются далеко не только маленькие страны. Сейчас, во время финансового кризиса, ряд европейских стран, среди которых в первую очередь фигурируют </w:t>
      </w:r>
      <w:r w:rsidR="00A81B4F" w:rsidRPr="00A01443">
        <w:rPr>
          <w:sz w:val="28"/>
          <w:szCs w:val="28"/>
        </w:rPr>
        <w:t>Германия и Франция</w:t>
      </w:r>
      <w:r w:rsidR="00A81B4F">
        <w:rPr>
          <w:sz w:val="28"/>
          <w:szCs w:val="28"/>
        </w:rPr>
        <w:t>,</w:t>
      </w:r>
      <w:r w:rsidR="00A81B4F" w:rsidRPr="00A01443">
        <w:rPr>
          <w:sz w:val="28"/>
          <w:szCs w:val="28"/>
        </w:rPr>
        <w:t xml:space="preserve"> критикуют </w:t>
      </w:r>
      <w:r w:rsidR="00A81B4F">
        <w:rPr>
          <w:sz w:val="28"/>
          <w:szCs w:val="28"/>
        </w:rPr>
        <w:t>Еврокомиссию и стремятся ослабить ее власть. Они хотят получить больше свободы в отношении вмешательс</w:t>
      </w:r>
      <w:r w:rsidR="00621751">
        <w:rPr>
          <w:sz w:val="28"/>
          <w:szCs w:val="28"/>
        </w:rPr>
        <w:t>тва государства в экономику. Во-</w:t>
      </w:r>
      <w:r w:rsidR="00A81B4F">
        <w:rPr>
          <w:sz w:val="28"/>
          <w:szCs w:val="28"/>
        </w:rPr>
        <w:t>первых</w:t>
      </w:r>
      <w:r w:rsidR="002B322B">
        <w:rPr>
          <w:sz w:val="28"/>
          <w:szCs w:val="28"/>
        </w:rPr>
        <w:t>, они утверждают, что К</w:t>
      </w:r>
      <w:r w:rsidR="00A81B4F">
        <w:rPr>
          <w:sz w:val="28"/>
          <w:szCs w:val="28"/>
        </w:rPr>
        <w:t>омиссия слишком рьяно применяет на практике антимонопольное законодательство, не позволяя создавать корпорации, способные конкурировать на мировом уровне, заявляя, что Комиссия неодобрительно относится к крупномасштабным сделкам слияний и поглощений.</w:t>
      </w:r>
      <w:r w:rsidR="00A81B4F">
        <w:rPr>
          <w:rStyle w:val="FootnoteReference"/>
          <w:sz w:val="28"/>
          <w:szCs w:val="28"/>
        </w:rPr>
        <w:footnoteReference w:id="36"/>
      </w:r>
    </w:p>
    <w:p w14:paraId="4300794D" w14:textId="0F469F20" w:rsidR="00642C36" w:rsidRDefault="00642C36" w:rsidP="00A81B4F">
      <w:pPr>
        <w:spacing w:line="360" w:lineRule="auto"/>
        <w:ind w:firstLine="720"/>
        <w:jc w:val="both"/>
        <w:rPr>
          <w:sz w:val="28"/>
          <w:szCs w:val="28"/>
        </w:rPr>
      </w:pPr>
      <w:r w:rsidRPr="00642C36">
        <w:rPr>
          <w:sz w:val="28"/>
          <w:szCs w:val="28"/>
        </w:rPr>
        <w:t xml:space="preserve">Марио Монти, </w:t>
      </w:r>
      <w:r w:rsidR="00F2210C">
        <w:rPr>
          <w:sz w:val="28"/>
          <w:szCs w:val="28"/>
        </w:rPr>
        <w:t>Европейский комиссар по вопросам конкуренции</w:t>
      </w:r>
      <w:hyperlink r:id="rId10" w:history="1"/>
      <w:r w:rsidRPr="00F2210C">
        <w:rPr>
          <w:sz w:val="28"/>
          <w:szCs w:val="28"/>
        </w:rPr>
        <w:t xml:space="preserve"> c</w:t>
      </w:r>
      <w:r w:rsidRPr="00642C36">
        <w:rPr>
          <w:sz w:val="28"/>
          <w:szCs w:val="28"/>
        </w:rPr>
        <w:t xml:space="preserve"> 1999 по 2004 гг.</w:t>
      </w:r>
      <w:r>
        <w:rPr>
          <w:sz w:val="28"/>
          <w:szCs w:val="28"/>
        </w:rPr>
        <w:t xml:space="preserve"> в своем отчете 2010 г.</w:t>
      </w:r>
      <w:r w:rsidR="00F2210C">
        <w:rPr>
          <w:sz w:val="28"/>
          <w:szCs w:val="28"/>
        </w:rPr>
        <w:t xml:space="preserve"> </w:t>
      </w:r>
      <w:r w:rsidR="00F2210C" w:rsidRPr="00F2210C">
        <w:rPr>
          <w:sz w:val="28"/>
          <w:szCs w:val="28"/>
          <w:lang w:val="en-US"/>
        </w:rPr>
        <w:t>"</w:t>
      </w:r>
      <w:r w:rsidR="00F2210C">
        <w:rPr>
          <w:bCs/>
          <w:sz w:val="28"/>
          <w:szCs w:val="28"/>
          <w:lang w:val="en-US"/>
        </w:rPr>
        <w:t>Новая</w:t>
      </w:r>
      <w:r w:rsidR="00F2210C" w:rsidRPr="00F2210C">
        <w:rPr>
          <w:bCs/>
          <w:sz w:val="28"/>
          <w:szCs w:val="28"/>
          <w:lang w:val="en-US"/>
        </w:rPr>
        <w:t xml:space="preserve"> стратеги</w:t>
      </w:r>
      <w:r w:rsidR="00F2210C">
        <w:rPr>
          <w:bCs/>
          <w:sz w:val="28"/>
          <w:szCs w:val="28"/>
          <w:lang w:val="en-US"/>
        </w:rPr>
        <w:t>я</w:t>
      </w:r>
      <w:r w:rsidR="00F2210C" w:rsidRPr="00F2210C">
        <w:rPr>
          <w:sz w:val="28"/>
          <w:szCs w:val="28"/>
          <w:lang w:val="en-US"/>
        </w:rPr>
        <w:t xml:space="preserve"> для единого рынка"</w:t>
      </w:r>
      <w:r>
        <w:rPr>
          <w:sz w:val="28"/>
          <w:szCs w:val="28"/>
        </w:rPr>
        <w:t xml:space="preserve"> </w:t>
      </w:r>
      <w:r w:rsidR="00F26F63">
        <w:rPr>
          <w:sz w:val="28"/>
          <w:szCs w:val="28"/>
        </w:rPr>
        <w:t>критикует государственную политику, направленную на создание компаний мировых лидеров. Монти говорит о том, что мировые лидеры – это в первую очередь те компании, которые вышли вперед благодаря собственным ресурсам и инновации</w:t>
      </w:r>
      <w:r w:rsidR="00621751">
        <w:rPr>
          <w:sz w:val="28"/>
          <w:szCs w:val="28"/>
        </w:rPr>
        <w:t>, а не благодаря поддержке государства.</w:t>
      </w:r>
      <w:r w:rsidR="00F26F63">
        <w:rPr>
          <w:rStyle w:val="FootnoteReference"/>
          <w:sz w:val="28"/>
          <w:szCs w:val="28"/>
        </w:rPr>
        <w:footnoteReference w:id="37"/>
      </w:r>
    </w:p>
    <w:p w14:paraId="4556F10A" w14:textId="1640A124" w:rsidR="00A81B4F" w:rsidRDefault="00A81B4F" w:rsidP="00A81B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Европейском форуме 2013 года был затронут этот вопрос, и отмечалось, что подобного рода «гиганты» могут представлять собой </w:t>
      </w:r>
      <w:r w:rsidR="002B322B">
        <w:rPr>
          <w:sz w:val="28"/>
          <w:szCs w:val="28"/>
        </w:rPr>
        <w:t>опасность для потребителей</w:t>
      </w:r>
      <w:r w:rsidR="00621751">
        <w:rPr>
          <w:sz w:val="28"/>
          <w:szCs w:val="28"/>
        </w:rPr>
        <w:t xml:space="preserve"> и</w:t>
      </w:r>
      <w:r w:rsidRPr="001A713A">
        <w:rPr>
          <w:sz w:val="28"/>
          <w:szCs w:val="28"/>
        </w:rPr>
        <w:t xml:space="preserve"> что данный путь является ошибочным и  приведет лишь к снижению конкурентоспособность европейской экономики.</w:t>
      </w:r>
    </w:p>
    <w:p w14:paraId="1619E351" w14:textId="4872A1D8" w:rsidR="008C2A97" w:rsidRDefault="00A81B4F" w:rsidP="008E5E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FC4">
        <w:rPr>
          <w:sz w:val="28"/>
          <w:szCs w:val="28"/>
        </w:rPr>
        <w:t>Таким образом,</w:t>
      </w:r>
      <w:r w:rsidR="008C2A97" w:rsidRPr="005D4FC4">
        <w:rPr>
          <w:sz w:val="28"/>
          <w:szCs w:val="28"/>
        </w:rPr>
        <w:t xml:space="preserve"> разумная антимонопольная политика в долгосрочной перспективе гораздо эффективнее</w:t>
      </w:r>
      <w:r w:rsidR="00DF72B3" w:rsidRPr="005D4FC4">
        <w:rPr>
          <w:sz w:val="28"/>
          <w:szCs w:val="28"/>
        </w:rPr>
        <w:t xml:space="preserve"> стимулирует создание лидеров, нежели г</w:t>
      </w:r>
      <w:r w:rsidR="008C2A97" w:rsidRPr="005D4FC4">
        <w:rPr>
          <w:sz w:val="28"/>
          <w:szCs w:val="28"/>
        </w:rPr>
        <w:t>осу</w:t>
      </w:r>
      <w:r w:rsidR="00DF72B3" w:rsidRPr="005D4FC4">
        <w:rPr>
          <w:sz w:val="28"/>
          <w:szCs w:val="28"/>
        </w:rPr>
        <w:t>дарственная политика п</w:t>
      </w:r>
      <w:r w:rsidR="00553FF4" w:rsidRPr="005D4FC4">
        <w:rPr>
          <w:sz w:val="28"/>
          <w:szCs w:val="28"/>
        </w:rPr>
        <w:t>о стимулированию промышленности. То же касается инновационного развити</w:t>
      </w:r>
      <w:r w:rsidR="00621751" w:rsidRPr="005D4FC4">
        <w:rPr>
          <w:sz w:val="28"/>
          <w:szCs w:val="28"/>
        </w:rPr>
        <w:t>я, «справедливая» конкуренция действительно</w:t>
      </w:r>
      <w:r w:rsidR="00553FF4" w:rsidRPr="005D4FC4">
        <w:rPr>
          <w:sz w:val="28"/>
          <w:szCs w:val="28"/>
        </w:rPr>
        <w:t xml:space="preserve"> способствует инвестиров</w:t>
      </w:r>
      <w:r w:rsidR="00621751" w:rsidRPr="005D4FC4">
        <w:rPr>
          <w:sz w:val="28"/>
          <w:szCs w:val="28"/>
        </w:rPr>
        <w:t>анию компаний в НИОКР и повышению ее</w:t>
      </w:r>
      <w:r w:rsidR="00553FF4" w:rsidRPr="005D4FC4">
        <w:rPr>
          <w:sz w:val="28"/>
          <w:szCs w:val="28"/>
        </w:rPr>
        <w:t xml:space="preserve"> конкурентоспособность на рынке.  Таким</w:t>
      </w:r>
      <w:r w:rsidR="00DF72B3" w:rsidRPr="005D4FC4">
        <w:rPr>
          <w:sz w:val="28"/>
          <w:szCs w:val="28"/>
        </w:rPr>
        <w:t xml:space="preserve"> </w:t>
      </w:r>
      <w:r w:rsidR="00553FF4" w:rsidRPr="005D4FC4">
        <w:rPr>
          <w:sz w:val="28"/>
          <w:szCs w:val="28"/>
        </w:rPr>
        <w:t>образом</w:t>
      </w:r>
      <w:r w:rsidR="00621751" w:rsidRPr="005D4FC4">
        <w:rPr>
          <w:sz w:val="28"/>
          <w:szCs w:val="28"/>
        </w:rPr>
        <w:t>,</w:t>
      </w:r>
      <w:r w:rsidR="00DF72B3" w:rsidRPr="005D4FC4">
        <w:rPr>
          <w:sz w:val="28"/>
          <w:szCs w:val="28"/>
        </w:rPr>
        <w:t xml:space="preserve"> призывы </w:t>
      </w:r>
      <w:r w:rsidR="00DF72B3" w:rsidRPr="005D4FC4">
        <w:rPr>
          <w:sz w:val="28"/>
          <w:szCs w:val="28"/>
        </w:rPr>
        <w:lastRenderedPageBreak/>
        <w:t>ослабить антимонопольный контроль со стороны от</w:t>
      </w:r>
      <w:r w:rsidR="00621751" w:rsidRPr="005D4FC4">
        <w:rPr>
          <w:sz w:val="28"/>
          <w:szCs w:val="28"/>
        </w:rPr>
        <w:t>дельных стран-членов ЕС не могут</w:t>
      </w:r>
      <w:r w:rsidR="00DF72B3" w:rsidRPr="005D4FC4">
        <w:rPr>
          <w:sz w:val="28"/>
          <w:szCs w:val="28"/>
        </w:rPr>
        <w:t xml:space="preserve"> быть поддержан</w:t>
      </w:r>
      <w:r w:rsidR="002B322B">
        <w:rPr>
          <w:sz w:val="28"/>
          <w:szCs w:val="28"/>
        </w:rPr>
        <w:t>ы</w:t>
      </w:r>
      <w:r w:rsidR="00DF72B3" w:rsidRPr="005D4FC4">
        <w:rPr>
          <w:sz w:val="28"/>
          <w:szCs w:val="28"/>
        </w:rPr>
        <w:t xml:space="preserve"> на общеевропейском уровне.</w:t>
      </w:r>
    </w:p>
    <w:p w14:paraId="6B1AD203" w14:textId="77777777" w:rsidR="00DF72B3" w:rsidRDefault="00DF72B3" w:rsidP="008E5E75">
      <w:pPr>
        <w:spacing w:line="360" w:lineRule="auto"/>
        <w:ind w:firstLine="720"/>
        <w:jc w:val="both"/>
        <w:rPr>
          <w:sz w:val="28"/>
          <w:szCs w:val="28"/>
        </w:rPr>
      </w:pPr>
    </w:p>
    <w:p w14:paraId="4E2E78B4" w14:textId="77777777" w:rsidR="00B65043" w:rsidRDefault="00B65043" w:rsidP="008E5E75">
      <w:pPr>
        <w:spacing w:line="360" w:lineRule="auto"/>
        <w:ind w:firstLine="720"/>
        <w:jc w:val="both"/>
        <w:rPr>
          <w:sz w:val="28"/>
          <w:szCs w:val="28"/>
        </w:rPr>
      </w:pPr>
    </w:p>
    <w:p w14:paraId="67D96203" w14:textId="77777777" w:rsidR="00B65043" w:rsidRDefault="00B65043" w:rsidP="008E5E75">
      <w:pPr>
        <w:spacing w:line="360" w:lineRule="auto"/>
        <w:ind w:firstLine="720"/>
        <w:jc w:val="both"/>
        <w:rPr>
          <w:sz w:val="28"/>
          <w:szCs w:val="28"/>
        </w:rPr>
      </w:pPr>
    </w:p>
    <w:p w14:paraId="1991F804" w14:textId="77777777" w:rsidR="00B65043" w:rsidRDefault="00B65043" w:rsidP="008E5E75">
      <w:pPr>
        <w:spacing w:line="360" w:lineRule="auto"/>
        <w:ind w:firstLine="720"/>
        <w:jc w:val="both"/>
        <w:rPr>
          <w:sz w:val="28"/>
          <w:szCs w:val="28"/>
        </w:rPr>
      </w:pPr>
    </w:p>
    <w:p w14:paraId="2712F7F3" w14:textId="76D518B3" w:rsidR="008F3E65" w:rsidRDefault="00D654F0" w:rsidP="008E5E75">
      <w:pPr>
        <w:spacing w:line="360" w:lineRule="auto"/>
        <w:jc w:val="center"/>
        <w:rPr>
          <w:b/>
          <w:sz w:val="32"/>
          <w:szCs w:val="32"/>
        </w:rPr>
      </w:pPr>
      <w:r w:rsidRPr="00D654F0">
        <w:rPr>
          <w:b/>
          <w:sz w:val="32"/>
          <w:szCs w:val="32"/>
        </w:rPr>
        <w:t xml:space="preserve">3.2. </w:t>
      </w:r>
      <w:r w:rsidR="00F85E1C" w:rsidRPr="00F85E1C">
        <w:rPr>
          <w:b/>
          <w:sz w:val="32"/>
          <w:szCs w:val="32"/>
        </w:rPr>
        <w:t>Тенденции развития европейского конкурентного права</w:t>
      </w:r>
    </w:p>
    <w:p w14:paraId="7A0E2788" w14:textId="77777777" w:rsidR="00756AB8" w:rsidRPr="00D654F0" w:rsidRDefault="00756AB8" w:rsidP="008E5E75">
      <w:pPr>
        <w:spacing w:line="360" w:lineRule="auto"/>
        <w:jc w:val="both"/>
        <w:rPr>
          <w:b/>
          <w:sz w:val="32"/>
          <w:szCs w:val="32"/>
        </w:rPr>
      </w:pPr>
    </w:p>
    <w:p w14:paraId="1507F516" w14:textId="00BF8543" w:rsidR="004D2730" w:rsidRDefault="004D2730" w:rsidP="008E5E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2012 год на рассмотрение комиссии было предоставлено 238 уведомлений о сделках</w:t>
      </w:r>
      <w:r w:rsidR="00155D19">
        <w:rPr>
          <w:sz w:val="28"/>
          <w:szCs w:val="28"/>
        </w:rPr>
        <w:t xml:space="preserve"> слияний и поглощений</w:t>
      </w:r>
      <w:r w:rsidR="00553FF4">
        <w:rPr>
          <w:sz w:val="28"/>
          <w:szCs w:val="28"/>
        </w:rPr>
        <w:t>, что свид</w:t>
      </w:r>
      <w:r w:rsidR="00DA36F5">
        <w:rPr>
          <w:sz w:val="28"/>
          <w:szCs w:val="28"/>
        </w:rPr>
        <w:t>етельствует о существенном снижении их числа</w:t>
      </w:r>
      <w:r w:rsidR="00621751">
        <w:rPr>
          <w:sz w:val="28"/>
          <w:szCs w:val="28"/>
        </w:rPr>
        <w:t>.</w:t>
      </w:r>
      <w:r w:rsidR="007D6C6E">
        <w:rPr>
          <w:sz w:val="28"/>
          <w:szCs w:val="28"/>
        </w:rPr>
        <w:t xml:space="preserve"> Так, </w:t>
      </w:r>
      <w:r w:rsidR="00155D19">
        <w:rPr>
          <w:sz w:val="28"/>
          <w:szCs w:val="28"/>
        </w:rPr>
        <w:t>с 2009 по 2011 гг. их коли</w:t>
      </w:r>
      <w:r w:rsidR="007D6C6E">
        <w:rPr>
          <w:sz w:val="28"/>
          <w:szCs w:val="28"/>
        </w:rPr>
        <w:t>чество увеличилось с 259 до 309</w:t>
      </w:r>
      <w:r w:rsidR="00155D19">
        <w:rPr>
          <w:sz w:val="28"/>
          <w:szCs w:val="28"/>
        </w:rPr>
        <w:t>.</w:t>
      </w:r>
      <w:r w:rsidR="00155D19">
        <w:rPr>
          <w:rStyle w:val="FootnoteReference"/>
          <w:sz w:val="28"/>
          <w:szCs w:val="28"/>
        </w:rPr>
        <w:footnoteReference w:id="38"/>
      </w:r>
      <w:r w:rsidR="007B2F22">
        <w:rPr>
          <w:sz w:val="28"/>
          <w:szCs w:val="28"/>
        </w:rPr>
        <w:t xml:space="preserve"> Десять сделок</w:t>
      </w:r>
      <w:r w:rsidR="0040144E">
        <w:rPr>
          <w:sz w:val="28"/>
          <w:szCs w:val="28"/>
        </w:rPr>
        <w:t xml:space="preserve"> в 2012 г.</w:t>
      </w:r>
      <w:r w:rsidR="007B2F22">
        <w:rPr>
          <w:sz w:val="28"/>
          <w:szCs w:val="28"/>
        </w:rPr>
        <w:t xml:space="preserve"> были перевед</w:t>
      </w:r>
      <w:r w:rsidR="00155D19">
        <w:rPr>
          <w:sz w:val="28"/>
          <w:szCs w:val="28"/>
        </w:rPr>
        <w:t xml:space="preserve">ены на </w:t>
      </w:r>
      <w:r w:rsidR="0040144E">
        <w:rPr>
          <w:sz w:val="28"/>
          <w:szCs w:val="28"/>
        </w:rPr>
        <w:t>рассмотрение на втором этапе</w:t>
      </w:r>
      <w:r w:rsidR="00155D19">
        <w:rPr>
          <w:sz w:val="28"/>
          <w:szCs w:val="28"/>
        </w:rPr>
        <w:t xml:space="preserve"> </w:t>
      </w:r>
      <w:r w:rsidR="0040144E">
        <w:rPr>
          <w:sz w:val="28"/>
          <w:szCs w:val="28"/>
        </w:rPr>
        <w:t>(</w:t>
      </w:r>
      <w:r w:rsidR="00155D19">
        <w:rPr>
          <w:sz w:val="28"/>
          <w:szCs w:val="28"/>
        </w:rPr>
        <w:t>с 2008 г. этот</w:t>
      </w:r>
      <w:r w:rsidR="007B2F22">
        <w:rPr>
          <w:sz w:val="28"/>
          <w:szCs w:val="28"/>
        </w:rPr>
        <w:t xml:space="preserve"> наивысший показатель</w:t>
      </w:r>
      <w:r w:rsidR="0040144E">
        <w:rPr>
          <w:sz w:val="28"/>
          <w:szCs w:val="28"/>
        </w:rPr>
        <w:t>)</w:t>
      </w:r>
      <w:r w:rsidR="007B2F22" w:rsidRPr="005534BC">
        <w:rPr>
          <w:sz w:val="28"/>
          <w:szCs w:val="28"/>
        </w:rPr>
        <w:t>;</w:t>
      </w:r>
      <w:r w:rsidR="007B2F22">
        <w:rPr>
          <w:sz w:val="28"/>
          <w:szCs w:val="28"/>
        </w:rPr>
        <w:t xml:space="preserve"> т</w:t>
      </w:r>
      <w:r w:rsidR="00155D19">
        <w:rPr>
          <w:sz w:val="28"/>
          <w:szCs w:val="28"/>
        </w:rPr>
        <w:t xml:space="preserve">ри </w:t>
      </w:r>
      <w:r w:rsidR="007B2F22">
        <w:rPr>
          <w:sz w:val="28"/>
          <w:szCs w:val="28"/>
        </w:rPr>
        <w:t>сделки были отклонены (С 2008 по 2010 ни по одной из сделок не было принят</w:t>
      </w:r>
      <w:r w:rsidR="005F119A">
        <w:rPr>
          <w:sz w:val="28"/>
          <w:szCs w:val="28"/>
        </w:rPr>
        <w:t>о запретительного решения, в</w:t>
      </w:r>
      <w:r w:rsidR="007B2F22">
        <w:rPr>
          <w:sz w:val="28"/>
          <w:szCs w:val="28"/>
        </w:rPr>
        <w:t xml:space="preserve"> 2011-2012 гг. – по одному).</w:t>
      </w:r>
    </w:p>
    <w:p w14:paraId="44334FB8" w14:textId="4F408C0F" w:rsidR="00EF6BA3" w:rsidRDefault="001602F7" w:rsidP="00D6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794D0E" w14:textId="144DDD0B" w:rsidR="009924DF" w:rsidRDefault="00EF6BA3" w:rsidP="00D6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Решения по сделкам слияний и поглощений с 1991 по 2011 гг.</w:t>
      </w:r>
    </w:p>
    <w:p w14:paraId="6FBDCA7E" w14:textId="2229BCE9" w:rsidR="009924DF" w:rsidRDefault="009924DF" w:rsidP="00D654F0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7D12CCA5" wp14:editId="077EAFC5">
            <wp:extent cx="6511763" cy="4010660"/>
            <wp:effectExtent l="0" t="0" r="16510" b="279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40EDCB" w14:textId="2B6ACA91" w:rsidR="00EF6BA3" w:rsidRPr="00EF6BA3" w:rsidRDefault="00EF6BA3" w:rsidP="00D654F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Источник: </w:t>
      </w:r>
      <w:r w:rsidRPr="00EF6BA3">
        <w:rPr>
          <w:sz w:val="28"/>
          <w:szCs w:val="28"/>
          <w:lang w:val="en-US"/>
        </w:rPr>
        <w:t>http://ec.europa.eu/competition/mergers/statistics.pdf</w:t>
      </w:r>
    </w:p>
    <w:p w14:paraId="7A49EACC" w14:textId="77777777" w:rsidR="007D6C6E" w:rsidRDefault="007D6C6E" w:rsidP="00EF6BA3">
      <w:pPr>
        <w:spacing w:line="360" w:lineRule="auto"/>
        <w:ind w:firstLine="720"/>
        <w:jc w:val="both"/>
        <w:rPr>
          <w:sz w:val="28"/>
          <w:szCs w:val="28"/>
        </w:rPr>
      </w:pPr>
    </w:p>
    <w:p w14:paraId="00C17BAA" w14:textId="4E680F90" w:rsidR="007D6C6E" w:rsidRDefault="007D6C6E" w:rsidP="007D6C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данный момент, когда Европа находится в кризисе, развитие антимонопольного законодательства способно внести свой вклад в возобновление экономического роста и создание рабочих мест. Поддержка конкуренции на рынке в среднесрочной и долгосрочной перспективе противоречит необходимости экономической и финансовой стабильности в краткосрочной перспективе. Однако</w:t>
      </w:r>
      <w:r w:rsidR="0040144E">
        <w:rPr>
          <w:sz w:val="28"/>
          <w:szCs w:val="28"/>
        </w:rPr>
        <w:t>,</w:t>
      </w:r>
      <w:r>
        <w:rPr>
          <w:sz w:val="28"/>
          <w:szCs w:val="28"/>
        </w:rPr>
        <w:t xml:space="preserve"> конкуренция позволяет справиться с рыночной неэффективностью. Сделки слияний и поглощений необходимо строго контролировать, так как первостепенной задачей является защита интересов потребителей: низкие цены, товары и услуги высокого качества, инновация. </w:t>
      </w:r>
      <w:r>
        <w:rPr>
          <w:rStyle w:val="FootnoteReference"/>
          <w:sz w:val="28"/>
          <w:szCs w:val="28"/>
        </w:rPr>
        <w:footnoteReference w:id="39"/>
      </w:r>
      <w:r>
        <w:rPr>
          <w:sz w:val="28"/>
          <w:szCs w:val="28"/>
        </w:rPr>
        <w:t xml:space="preserve"> </w:t>
      </w:r>
    </w:p>
    <w:p w14:paraId="6C1EDC33" w14:textId="7870F051" w:rsidR="006519AB" w:rsidRDefault="006519AB" w:rsidP="007D6C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7B7818">
        <w:rPr>
          <w:sz w:val="28"/>
          <w:szCs w:val="28"/>
        </w:rPr>
        <w:t xml:space="preserve"> конкурентная политика имеет большое значение в рамках стратегии экономического развития «Европа – 2020».</w:t>
      </w:r>
      <w:r w:rsidR="00BA2559">
        <w:rPr>
          <w:sz w:val="28"/>
          <w:szCs w:val="28"/>
        </w:rPr>
        <w:t xml:space="preserve"> Основные цели стратегии заключаются в достижении роста, основанного на инновациях, повышении уровня занятости населения и переходу к устойчивому развитию экономики. Конкуренция же </w:t>
      </w:r>
      <w:r w:rsidR="007B7818">
        <w:rPr>
          <w:sz w:val="28"/>
          <w:szCs w:val="28"/>
        </w:rPr>
        <w:t xml:space="preserve">является одним из </w:t>
      </w:r>
      <w:r w:rsidR="00BA2559">
        <w:rPr>
          <w:sz w:val="28"/>
          <w:szCs w:val="28"/>
        </w:rPr>
        <w:t>ключевы</w:t>
      </w:r>
      <w:r w:rsidR="007B7818">
        <w:rPr>
          <w:sz w:val="28"/>
          <w:szCs w:val="28"/>
        </w:rPr>
        <w:t>х факторов экономического роста и повышения конкурентоспособности</w:t>
      </w:r>
      <w:r w:rsidR="00BA2559">
        <w:rPr>
          <w:sz w:val="28"/>
          <w:szCs w:val="28"/>
        </w:rPr>
        <w:t xml:space="preserve"> экономики</w:t>
      </w:r>
      <w:r w:rsidR="007B7818">
        <w:rPr>
          <w:sz w:val="28"/>
          <w:szCs w:val="28"/>
        </w:rPr>
        <w:t>.</w:t>
      </w:r>
    </w:p>
    <w:p w14:paraId="37B66C59" w14:textId="68219365" w:rsidR="0080361C" w:rsidRDefault="00395DA9" w:rsidP="00EF6BA3">
      <w:pPr>
        <w:spacing w:line="360" w:lineRule="auto"/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В последнее время</w:t>
      </w:r>
      <w:r w:rsidR="007D6C6E">
        <w:rPr>
          <w:sz w:val="28"/>
          <w:szCs w:val="28"/>
        </w:rPr>
        <w:t xml:space="preserve"> </w:t>
      </w:r>
      <w:r w:rsidR="00EB2952">
        <w:rPr>
          <w:sz w:val="28"/>
          <w:szCs w:val="28"/>
        </w:rPr>
        <w:t>на конференциях ЕС, посвященных вопросам конкуренции</w:t>
      </w:r>
      <w:r w:rsidR="0040144E">
        <w:rPr>
          <w:sz w:val="28"/>
          <w:szCs w:val="28"/>
        </w:rPr>
        <w:t>,</w:t>
      </w:r>
      <w:r w:rsidR="00EB2952">
        <w:rPr>
          <w:sz w:val="28"/>
          <w:szCs w:val="28"/>
        </w:rPr>
        <w:t xml:space="preserve"> нередко говорится</w:t>
      </w:r>
      <w:r>
        <w:rPr>
          <w:sz w:val="28"/>
          <w:szCs w:val="28"/>
        </w:rPr>
        <w:t xml:space="preserve"> о</w:t>
      </w:r>
      <w:r w:rsidR="00EB2952">
        <w:rPr>
          <w:sz w:val="28"/>
          <w:szCs w:val="28"/>
        </w:rPr>
        <w:t xml:space="preserve"> необходимости</w:t>
      </w:r>
      <w:r w:rsidR="005F4FF2">
        <w:rPr>
          <w:sz w:val="28"/>
          <w:szCs w:val="28"/>
        </w:rPr>
        <w:t xml:space="preserve"> </w:t>
      </w:r>
      <w:r w:rsidR="00EB2952">
        <w:rPr>
          <w:sz w:val="28"/>
          <w:szCs w:val="28"/>
        </w:rPr>
        <w:t>сближения</w:t>
      </w:r>
      <w:r w:rsidR="00F07371">
        <w:rPr>
          <w:sz w:val="28"/>
          <w:szCs w:val="28"/>
        </w:rPr>
        <w:t xml:space="preserve"> антимонопольных органов различных регионов.</w:t>
      </w:r>
      <w:r w:rsidR="00EB2952">
        <w:rPr>
          <w:rStyle w:val="FootnoteReference"/>
          <w:sz w:val="28"/>
          <w:szCs w:val="28"/>
        </w:rPr>
        <w:footnoteReference w:id="40"/>
      </w:r>
      <w:r w:rsidR="009D3D5F">
        <w:rPr>
          <w:sz w:val="28"/>
          <w:szCs w:val="28"/>
        </w:rPr>
        <w:t xml:space="preserve"> </w:t>
      </w:r>
      <w:r w:rsidR="009D3D5F" w:rsidRPr="009D3D5F">
        <w:rPr>
          <w:rFonts w:eastAsiaTheme="minorEastAsia"/>
          <w:sz w:val="28"/>
          <w:szCs w:val="28"/>
          <w:lang w:eastAsia="en-US"/>
        </w:rPr>
        <w:t>Все бол</w:t>
      </w:r>
      <w:r w:rsidR="0040144E">
        <w:rPr>
          <w:rFonts w:eastAsiaTheme="minorEastAsia"/>
          <w:sz w:val="28"/>
          <w:szCs w:val="28"/>
          <w:lang w:eastAsia="en-US"/>
        </w:rPr>
        <w:t>ьшее число компаний функционирую</w:t>
      </w:r>
      <w:r w:rsidR="009D3D5F" w:rsidRPr="009D3D5F">
        <w:rPr>
          <w:rFonts w:eastAsiaTheme="minorEastAsia"/>
          <w:sz w:val="28"/>
          <w:szCs w:val="28"/>
          <w:lang w:eastAsia="en-US"/>
        </w:rPr>
        <w:t>т на мировом уровне</w:t>
      </w:r>
      <w:r w:rsidR="009D3D5F">
        <w:rPr>
          <w:rFonts w:eastAsiaTheme="minorEastAsia"/>
          <w:sz w:val="28"/>
          <w:szCs w:val="28"/>
          <w:lang w:eastAsia="en-US"/>
        </w:rPr>
        <w:t>, поэтому правила конкуренции не могут более существовать отдельно на национальном или даже региональном уровне.</w:t>
      </w:r>
      <w:r w:rsidR="004C3297">
        <w:rPr>
          <w:rFonts w:eastAsiaTheme="minorEastAsia"/>
          <w:sz w:val="28"/>
          <w:szCs w:val="28"/>
          <w:lang w:eastAsia="en-US"/>
        </w:rPr>
        <w:t xml:space="preserve"> Либеральные экономические принципы, действующие на едином внутреннем рынке Евросоюза, распространяются и на третьи стр</w:t>
      </w:r>
      <w:r w:rsidR="001C4B1B">
        <w:rPr>
          <w:rFonts w:eastAsiaTheme="minorEastAsia"/>
          <w:sz w:val="28"/>
          <w:szCs w:val="28"/>
          <w:lang w:eastAsia="en-US"/>
        </w:rPr>
        <w:t>аны. Это вызвано, в том числе, участием</w:t>
      </w:r>
      <w:r w:rsidR="00B65043">
        <w:rPr>
          <w:rFonts w:eastAsiaTheme="minorEastAsia"/>
          <w:sz w:val="28"/>
          <w:szCs w:val="28"/>
          <w:lang w:eastAsia="en-US"/>
        </w:rPr>
        <w:t xml:space="preserve"> стран</w:t>
      </w:r>
      <w:r w:rsidR="001C4B1B">
        <w:rPr>
          <w:rFonts w:eastAsiaTheme="minorEastAsia"/>
          <w:sz w:val="28"/>
          <w:szCs w:val="28"/>
          <w:lang w:eastAsia="en-US"/>
        </w:rPr>
        <w:t xml:space="preserve"> в международных организациях</w:t>
      </w:r>
      <w:r w:rsidR="00B37E16">
        <w:rPr>
          <w:rFonts w:eastAsiaTheme="minorEastAsia"/>
          <w:sz w:val="28"/>
          <w:szCs w:val="28"/>
          <w:lang w:eastAsia="en-US"/>
        </w:rPr>
        <w:t>, таких как ОЭСР, МВФ.</w:t>
      </w:r>
      <w:r w:rsidR="009D3D5F">
        <w:rPr>
          <w:rFonts w:eastAsiaTheme="minorEastAsia"/>
          <w:sz w:val="28"/>
          <w:szCs w:val="28"/>
          <w:lang w:eastAsia="en-US"/>
        </w:rPr>
        <w:t xml:space="preserve"> Необходимо, чтобы </w:t>
      </w:r>
      <w:r w:rsidR="00F07371">
        <w:rPr>
          <w:rFonts w:eastAsiaTheme="minorEastAsia"/>
          <w:sz w:val="28"/>
          <w:szCs w:val="28"/>
          <w:lang w:eastAsia="en-US"/>
        </w:rPr>
        <w:t xml:space="preserve">антимонопольные органы различных регионов </w:t>
      </w:r>
      <w:r w:rsidR="0080361C">
        <w:rPr>
          <w:rFonts w:eastAsiaTheme="minorEastAsia"/>
          <w:sz w:val="28"/>
          <w:szCs w:val="28"/>
          <w:lang w:eastAsia="en-US"/>
        </w:rPr>
        <w:t>им</w:t>
      </w:r>
      <w:r w:rsidR="00DB1748">
        <w:rPr>
          <w:rFonts w:eastAsiaTheme="minorEastAsia"/>
          <w:sz w:val="28"/>
          <w:szCs w:val="28"/>
          <w:lang w:eastAsia="en-US"/>
        </w:rPr>
        <w:t xml:space="preserve">ели общие принципы, необходимо сотрудничество в </w:t>
      </w:r>
      <w:r w:rsidR="00DB1748" w:rsidRPr="00DB1748">
        <w:rPr>
          <w:rFonts w:eastAsiaTheme="minorEastAsia"/>
          <w:sz w:val="28"/>
          <w:szCs w:val="28"/>
          <w:lang w:eastAsia="en-US"/>
        </w:rPr>
        <w:t>целях совмещения правил конкуренции</w:t>
      </w:r>
      <w:r w:rsidR="00DB1748">
        <w:rPr>
          <w:rFonts w:eastAsiaTheme="minorEastAsia"/>
          <w:sz w:val="28"/>
          <w:szCs w:val="28"/>
          <w:lang w:eastAsia="en-US"/>
        </w:rPr>
        <w:t>.</w:t>
      </w:r>
      <w:r w:rsidR="0080361C">
        <w:rPr>
          <w:rFonts w:eastAsiaTheme="minorEastAsia"/>
          <w:sz w:val="28"/>
          <w:szCs w:val="28"/>
          <w:lang w:eastAsia="en-US"/>
        </w:rPr>
        <w:t xml:space="preserve"> На сегодняшний </w:t>
      </w:r>
      <w:r w:rsidR="0080361C">
        <w:rPr>
          <w:rFonts w:eastAsiaTheme="minorEastAsia"/>
          <w:sz w:val="28"/>
          <w:szCs w:val="28"/>
          <w:lang w:eastAsia="en-US"/>
        </w:rPr>
        <w:lastRenderedPageBreak/>
        <w:t>ден</w:t>
      </w:r>
      <w:r w:rsidR="00F07371">
        <w:rPr>
          <w:rFonts w:eastAsiaTheme="minorEastAsia"/>
          <w:sz w:val="28"/>
          <w:szCs w:val="28"/>
          <w:lang w:eastAsia="en-US"/>
        </w:rPr>
        <w:t>ь</w:t>
      </w:r>
      <w:r w:rsidR="0080361C">
        <w:rPr>
          <w:rFonts w:eastAsiaTheme="minorEastAsia"/>
          <w:sz w:val="28"/>
          <w:szCs w:val="28"/>
          <w:lang w:eastAsia="en-US"/>
        </w:rPr>
        <w:t xml:space="preserve"> в мире</w:t>
      </w:r>
      <w:r w:rsidR="00F07371">
        <w:rPr>
          <w:rFonts w:eastAsiaTheme="minorEastAsia"/>
          <w:sz w:val="28"/>
          <w:szCs w:val="28"/>
          <w:lang w:eastAsia="en-US"/>
        </w:rPr>
        <w:t xml:space="preserve"> насчитыв</w:t>
      </w:r>
      <w:r w:rsidR="0080361C">
        <w:rPr>
          <w:rFonts w:eastAsiaTheme="minorEastAsia"/>
          <w:sz w:val="28"/>
          <w:szCs w:val="28"/>
          <w:lang w:eastAsia="en-US"/>
        </w:rPr>
        <w:t>а</w:t>
      </w:r>
      <w:r w:rsidR="00F07371">
        <w:rPr>
          <w:rFonts w:eastAsiaTheme="minorEastAsia"/>
          <w:sz w:val="28"/>
          <w:szCs w:val="28"/>
          <w:lang w:eastAsia="en-US"/>
        </w:rPr>
        <w:t>ется более 100</w:t>
      </w:r>
      <w:r w:rsidR="0080361C">
        <w:rPr>
          <w:rFonts w:eastAsiaTheme="minorEastAsia"/>
          <w:sz w:val="28"/>
          <w:szCs w:val="28"/>
          <w:lang w:eastAsia="en-US"/>
        </w:rPr>
        <w:t xml:space="preserve"> режимов контроля за сделками слияний и поглощений</w:t>
      </w:r>
      <w:r w:rsidR="0040144E">
        <w:rPr>
          <w:rFonts w:eastAsiaTheme="minorEastAsia"/>
          <w:sz w:val="28"/>
          <w:szCs w:val="28"/>
          <w:lang w:eastAsia="en-US"/>
        </w:rPr>
        <w:t>,</w:t>
      </w:r>
      <w:r w:rsidR="0080361C">
        <w:rPr>
          <w:rFonts w:eastAsiaTheme="minorEastAsia"/>
          <w:sz w:val="28"/>
          <w:szCs w:val="28"/>
          <w:lang w:eastAsia="en-US"/>
        </w:rPr>
        <w:t xml:space="preserve"> и недостаток координации является серьезной сложностью.</w:t>
      </w:r>
    </w:p>
    <w:p w14:paraId="04DD56A8" w14:textId="57F58347" w:rsidR="009B7088" w:rsidRDefault="0080361C" w:rsidP="00885BC0">
      <w:pPr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ab/>
        <w:t xml:space="preserve">Наилучшим примером </w:t>
      </w:r>
      <w:r w:rsidR="00411B75">
        <w:rPr>
          <w:rFonts w:eastAsiaTheme="minorEastAsia"/>
          <w:sz w:val="28"/>
          <w:szCs w:val="28"/>
          <w:lang w:eastAsia="en-US"/>
        </w:rPr>
        <w:t>сотрудничества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="00411B75">
        <w:rPr>
          <w:rFonts w:eastAsiaTheme="minorEastAsia"/>
          <w:sz w:val="28"/>
          <w:szCs w:val="28"/>
          <w:lang w:eastAsia="en-US"/>
        </w:rPr>
        <w:t>являются</w:t>
      </w:r>
      <w:r>
        <w:rPr>
          <w:rFonts w:eastAsiaTheme="minorEastAsia"/>
          <w:sz w:val="28"/>
          <w:szCs w:val="28"/>
          <w:lang w:eastAsia="en-US"/>
        </w:rPr>
        <w:t xml:space="preserve"> отношения</w:t>
      </w:r>
      <w:r w:rsidR="00411B75">
        <w:rPr>
          <w:rFonts w:eastAsiaTheme="minorEastAsia"/>
          <w:sz w:val="28"/>
          <w:szCs w:val="28"/>
          <w:lang w:eastAsia="en-US"/>
        </w:rPr>
        <w:t>,</w:t>
      </w:r>
      <w:r>
        <w:rPr>
          <w:rFonts w:eastAsiaTheme="minorEastAsia"/>
          <w:sz w:val="28"/>
          <w:szCs w:val="28"/>
          <w:lang w:eastAsia="en-US"/>
        </w:rPr>
        <w:t xml:space="preserve"> установленные за долгие годы </w:t>
      </w:r>
      <w:r w:rsidR="00411B75">
        <w:rPr>
          <w:rFonts w:eastAsiaTheme="minorEastAsia"/>
          <w:sz w:val="28"/>
          <w:szCs w:val="28"/>
          <w:lang w:eastAsia="en-US"/>
        </w:rPr>
        <w:t>между антимонопольными органами ЕС и США, и которые могут послужить моделью подобного рода сотрудничества.</w:t>
      </w:r>
      <w:r w:rsidR="004C3297">
        <w:rPr>
          <w:rFonts w:eastAsiaTheme="minorEastAsia"/>
          <w:sz w:val="28"/>
          <w:szCs w:val="28"/>
          <w:lang w:eastAsia="en-US"/>
        </w:rPr>
        <w:t xml:space="preserve"> </w:t>
      </w:r>
      <w:r w:rsidR="00411B75">
        <w:rPr>
          <w:rFonts w:eastAsiaTheme="minorEastAsia"/>
          <w:sz w:val="28"/>
          <w:szCs w:val="28"/>
          <w:lang w:eastAsia="en-US"/>
        </w:rPr>
        <w:t>Также серьезный прогресс наблюдается в отношениях с Японией и Южной Кореей</w:t>
      </w:r>
      <w:r w:rsidR="0040144E">
        <w:rPr>
          <w:rFonts w:eastAsiaTheme="minorEastAsia"/>
          <w:sz w:val="28"/>
          <w:szCs w:val="28"/>
          <w:lang w:eastAsia="en-US"/>
        </w:rPr>
        <w:t xml:space="preserve">, </w:t>
      </w:r>
      <w:r w:rsidR="00824A6D">
        <w:rPr>
          <w:rFonts w:eastAsiaTheme="minorEastAsia"/>
          <w:sz w:val="28"/>
          <w:szCs w:val="28"/>
          <w:lang w:eastAsia="en-US"/>
        </w:rPr>
        <w:t>ожидается больше взаимодей</w:t>
      </w:r>
      <w:r w:rsidR="0040144E">
        <w:rPr>
          <w:rFonts w:eastAsiaTheme="minorEastAsia"/>
          <w:sz w:val="28"/>
          <w:szCs w:val="28"/>
          <w:lang w:eastAsia="en-US"/>
        </w:rPr>
        <w:t>ствия с развивающимися странами, так как к</w:t>
      </w:r>
      <w:r w:rsidR="00824A6D">
        <w:rPr>
          <w:rFonts w:eastAsiaTheme="minorEastAsia"/>
          <w:sz w:val="28"/>
          <w:szCs w:val="28"/>
          <w:lang w:eastAsia="en-US"/>
        </w:rPr>
        <w:t xml:space="preserve">омпании развивающихся экономик все более укрепляются на мировых рынках. Основной задачей данного направления политики является избежание конфликтных ситуаций </w:t>
      </w:r>
      <w:r w:rsidR="009B7088">
        <w:rPr>
          <w:rFonts w:eastAsiaTheme="minorEastAsia"/>
          <w:sz w:val="28"/>
          <w:szCs w:val="28"/>
          <w:lang w:eastAsia="en-US"/>
        </w:rPr>
        <w:t xml:space="preserve">и упрощение процедуры для самих компаний. </w:t>
      </w:r>
    </w:p>
    <w:p w14:paraId="6419FC50" w14:textId="5852D74B" w:rsidR="00D16143" w:rsidRDefault="002C19F1" w:rsidP="00885BC0">
      <w:pPr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ab/>
      </w:r>
      <w:r w:rsidRPr="002C19F1">
        <w:rPr>
          <w:rFonts w:eastAsiaTheme="minorEastAsia"/>
          <w:sz w:val="28"/>
          <w:szCs w:val="28"/>
          <w:lang w:eastAsia="en-US"/>
        </w:rPr>
        <w:t>Комиссию</w:t>
      </w:r>
      <w:r w:rsidR="0040144E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в последнее время</w:t>
      </w:r>
      <w:r w:rsidR="0040144E">
        <w:rPr>
          <w:rFonts w:eastAsiaTheme="minorEastAsia"/>
          <w:sz w:val="28"/>
          <w:szCs w:val="28"/>
          <w:lang w:eastAsia="en-US"/>
        </w:rPr>
        <w:t xml:space="preserve"> нередко</w:t>
      </w:r>
      <w:r w:rsidRPr="002C19F1">
        <w:rPr>
          <w:rFonts w:eastAsiaTheme="minorEastAsia"/>
          <w:sz w:val="28"/>
          <w:szCs w:val="28"/>
          <w:lang w:eastAsia="en-US"/>
        </w:rPr>
        <w:t xml:space="preserve"> критикуют за то, что она недостаточно внимания уделяет проблеме деинду</w:t>
      </w:r>
      <w:r w:rsidR="0040144E">
        <w:rPr>
          <w:rFonts w:eastAsiaTheme="minorEastAsia"/>
          <w:sz w:val="28"/>
          <w:szCs w:val="28"/>
          <w:lang w:eastAsia="en-US"/>
        </w:rPr>
        <w:t>стриализации Европы и размещению</w:t>
      </w:r>
      <w:r w:rsidRPr="002C19F1">
        <w:rPr>
          <w:rFonts w:eastAsiaTheme="minorEastAsia"/>
          <w:sz w:val="28"/>
          <w:szCs w:val="28"/>
          <w:lang w:eastAsia="en-US"/>
        </w:rPr>
        <w:t xml:space="preserve"> компаний за пределами ЕС. Промышленность необходима для нормального экономического развития любой страны.</w:t>
      </w:r>
      <w:r w:rsidR="00AE7E97">
        <w:rPr>
          <w:rFonts w:eastAsiaTheme="minorEastAsia"/>
          <w:sz w:val="28"/>
          <w:szCs w:val="28"/>
          <w:lang w:eastAsia="en-US"/>
        </w:rPr>
        <w:t xml:space="preserve"> Сторонники этой идеи призывают к протекци</w:t>
      </w:r>
      <w:r w:rsidR="0040144E">
        <w:rPr>
          <w:rFonts w:eastAsiaTheme="minorEastAsia"/>
          <w:sz w:val="28"/>
          <w:szCs w:val="28"/>
          <w:lang w:eastAsia="en-US"/>
        </w:rPr>
        <w:t xml:space="preserve">онизму, </w:t>
      </w:r>
      <w:r w:rsidR="006E7D11">
        <w:rPr>
          <w:rFonts w:eastAsiaTheme="minorEastAsia"/>
          <w:sz w:val="28"/>
          <w:szCs w:val="28"/>
          <w:lang w:eastAsia="en-US"/>
        </w:rPr>
        <w:t>опасаясь утечки технологий и сок</w:t>
      </w:r>
      <w:r w:rsidR="0040144E">
        <w:rPr>
          <w:rFonts w:eastAsiaTheme="minorEastAsia"/>
          <w:sz w:val="28"/>
          <w:szCs w:val="28"/>
          <w:lang w:eastAsia="en-US"/>
        </w:rPr>
        <w:t xml:space="preserve">ращению числа рабочих мест в ЕС. </w:t>
      </w:r>
    </w:p>
    <w:p w14:paraId="32C6AA57" w14:textId="533F5121" w:rsidR="006368AF" w:rsidRDefault="00D16143" w:rsidP="002F664C">
      <w:pPr>
        <w:spacing w:line="360" w:lineRule="auto"/>
        <w:ind w:firstLine="720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Однако на высшем уровне данный вопрос не рассмат</w:t>
      </w:r>
      <w:r w:rsidR="006E7D11">
        <w:rPr>
          <w:rFonts w:eastAsiaTheme="minorEastAsia"/>
          <w:sz w:val="28"/>
          <w:szCs w:val="28"/>
          <w:lang w:eastAsia="en-US"/>
        </w:rPr>
        <w:t>ривается как серьезный аргумент.</w:t>
      </w:r>
      <w:r>
        <w:rPr>
          <w:rFonts w:eastAsiaTheme="minorEastAsia"/>
          <w:sz w:val="28"/>
          <w:szCs w:val="28"/>
          <w:lang w:eastAsia="en-US"/>
        </w:rPr>
        <w:t xml:space="preserve"> Европа продолжает активно принимать инвестиции из других регионов. Закрытие внутреннего рынка для иностранных инвесторов не принесет пользы в данном случае</w:t>
      </w:r>
      <w:r w:rsidR="006E7D11">
        <w:rPr>
          <w:rFonts w:eastAsiaTheme="minorEastAsia"/>
          <w:sz w:val="28"/>
          <w:szCs w:val="28"/>
          <w:lang w:eastAsia="en-US"/>
        </w:rPr>
        <w:t xml:space="preserve">, </w:t>
      </w:r>
      <w:r w:rsidR="00E837B7">
        <w:rPr>
          <w:rFonts w:eastAsiaTheme="minorEastAsia"/>
          <w:sz w:val="28"/>
          <w:szCs w:val="28"/>
          <w:lang w:eastAsia="en-US"/>
        </w:rPr>
        <w:t>необходимо поддерживать взаимное сотрудничество на открытых международных рынках.</w:t>
      </w:r>
    </w:p>
    <w:p w14:paraId="6383BE7E" w14:textId="40A5F68C" w:rsidR="00DA604E" w:rsidRPr="00196F5B" w:rsidRDefault="00EE5D59" w:rsidP="006368AF">
      <w:pPr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ab/>
      </w:r>
      <w:r w:rsidRPr="00826AC1">
        <w:rPr>
          <w:rFonts w:eastAsiaTheme="minorEastAsia"/>
          <w:sz w:val="28"/>
          <w:szCs w:val="28"/>
          <w:lang w:eastAsia="en-US"/>
        </w:rPr>
        <w:t>Таким образом, в условиях экономического и финансового кризиса</w:t>
      </w:r>
      <w:r w:rsidR="006E7D11" w:rsidRPr="00826AC1">
        <w:rPr>
          <w:rFonts w:eastAsiaTheme="minorEastAsia"/>
          <w:sz w:val="28"/>
          <w:szCs w:val="28"/>
          <w:lang w:eastAsia="en-US"/>
        </w:rPr>
        <w:t>,</w:t>
      </w:r>
      <w:r w:rsidRPr="00826AC1">
        <w:rPr>
          <w:rFonts w:eastAsiaTheme="minorEastAsia"/>
          <w:sz w:val="28"/>
          <w:szCs w:val="28"/>
          <w:lang w:eastAsia="en-US"/>
        </w:rPr>
        <w:t xml:space="preserve"> Европейская комиссия не намерена ослаблять кон</w:t>
      </w:r>
      <w:r w:rsidR="00631B0C" w:rsidRPr="00826AC1">
        <w:rPr>
          <w:rFonts w:eastAsiaTheme="minorEastAsia"/>
          <w:sz w:val="28"/>
          <w:szCs w:val="28"/>
          <w:lang w:eastAsia="en-US"/>
        </w:rPr>
        <w:t>курентную политику, не</w:t>
      </w:r>
      <w:r w:rsidR="002F664C" w:rsidRPr="00826AC1">
        <w:rPr>
          <w:rFonts w:eastAsiaTheme="minorEastAsia"/>
          <w:sz w:val="28"/>
          <w:szCs w:val="28"/>
          <w:lang w:eastAsia="en-US"/>
        </w:rPr>
        <w:t>смотря на недовольство некоторых стран-членов, так как «справедливая» конкуренция стимулирует развитие бизнеса и инновации, приводит к долгосрочной стабильности.</w:t>
      </w:r>
      <w:r w:rsidR="00196F5B" w:rsidRPr="00826AC1">
        <w:rPr>
          <w:rFonts w:eastAsiaTheme="minorEastAsia"/>
          <w:sz w:val="28"/>
          <w:szCs w:val="28"/>
          <w:lang w:eastAsia="en-US"/>
        </w:rPr>
        <w:t xml:space="preserve"> При этом</w:t>
      </w:r>
      <w:r w:rsidR="002F664C" w:rsidRPr="00826AC1">
        <w:rPr>
          <w:rFonts w:eastAsiaTheme="minorEastAsia"/>
          <w:sz w:val="28"/>
          <w:szCs w:val="28"/>
          <w:lang w:eastAsia="en-US"/>
        </w:rPr>
        <w:t xml:space="preserve"> </w:t>
      </w:r>
      <w:r w:rsidR="00196F5B" w:rsidRPr="00826AC1">
        <w:rPr>
          <w:rFonts w:eastAsiaTheme="minorEastAsia"/>
          <w:sz w:val="28"/>
          <w:szCs w:val="28"/>
          <w:lang w:eastAsia="en-US"/>
        </w:rPr>
        <w:t>основные тенденции в развитии конкурентного права ЕС – это сотрудничеству в области</w:t>
      </w:r>
      <w:r w:rsidR="00CD478E" w:rsidRPr="00826AC1">
        <w:rPr>
          <w:rFonts w:eastAsiaTheme="minorEastAsia"/>
          <w:sz w:val="28"/>
          <w:szCs w:val="28"/>
          <w:lang w:eastAsia="en-US"/>
        </w:rPr>
        <w:t xml:space="preserve"> конкурентной политики</w:t>
      </w:r>
      <w:r w:rsidR="00196F5B" w:rsidRPr="00826AC1">
        <w:rPr>
          <w:rFonts w:eastAsiaTheme="minorEastAsia"/>
          <w:sz w:val="28"/>
          <w:szCs w:val="28"/>
          <w:lang w:eastAsia="en-US"/>
        </w:rPr>
        <w:t xml:space="preserve"> с другими регионами и создание правовой базы основанной на </w:t>
      </w:r>
      <w:r w:rsidR="00196F5B" w:rsidRPr="00826AC1">
        <w:rPr>
          <w:rFonts w:eastAsiaTheme="minorEastAsia"/>
          <w:sz w:val="28"/>
          <w:szCs w:val="28"/>
          <w:lang w:eastAsia="en-US"/>
        </w:rPr>
        <w:lastRenderedPageBreak/>
        <w:t>общих принципах и дальнейшее упрощение процедуры рассмотрения сделок слияний и поглощений.</w:t>
      </w:r>
    </w:p>
    <w:p w14:paraId="2015C1C0" w14:textId="0DDD1E03" w:rsidR="00411B75" w:rsidRPr="00B65043" w:rsidRDefault="00885BC0" w:rsidP="00B65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57D3DF" w14:textId="405B6922" w:rsidR="00E83668" w:rsidRPr="00B65043" w:rsidRDefault="00D654F0" w:rsidP="00B65043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14:paraId="0124AEA1" w14:textId="0CF24D2C" w:rsidR="00196F5B" w:rsidRPr="0069490B" w:rsidRDefault="00196F5B" w:rsidP="0069490B">
      <w:pPr>
        <w:spacing w:line="360" w:lineRule="auto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ab/>
      </w:r>
      <w:r>
        <w:rPr>
          <w:sz w:val="28"/>
          <w:szCs w:val="28"/>
        </w:rPr>
        <w:tab/>
      </w:r>
    </w:p>
    <w:p w14:paraId="014B190C" w14:textId="6CCDD408" w:rsidR="0069490B" w:rsidRDefault="0069490B" w:rsidP="0069490B">
      <w:pPr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ab/>
      </w:r>
      <w:r w:rsidR="0022311F">
        <w:rPr>
          <w:rFonts w:eastAsiaTheme="minorEastAsia"/>
          <w:sz w:val="28"/>
          <w:szCs w:val="28"/>
          <w:lang w:eastAsia="en-US"/>
        </w:rPr>
        <w:t>Наиболее характерные</w:t>
      </w:r>
      <w:r>
        <w:rPr>
          <w:rFonts w:eastAsiaTheme="minorEastAsia"/>
          <w:sz w:val="28"/>
          <w:szCs w:val="28"/>
          <w:lang w:eastAsia="en-US"/>
        </w:rPr>
        <w:t xml:space="preserve"> черт</w:t>
      </w:r>
      <w:r w:rsidR="006E7D11">
        <w:rPr>
          <w:rFonts w:eastAsiaTheme="minorEastAsia"/>
          <w:sz w:val="28"/>
          <w:szCs w:val="28"/>
          <w:lang w:eastAsia="en-US"/>
        </w:rPr>
        <w:t>ы</w:t>
      </w:r>
      <w:r>
        <w:rPr>
          <w:rFonts w:eastAsiaTheme="minorEastAsia"/>
          <w:sz w:val="28"/>
          <w:szCs w:val="28"/>
          <w:lang w:eastAsia="en-US"/>
        </w:rPr>
        <w:t xml:space="preserve"> современного мира</w:t>
      </w:r>
      <w:r w:rsidR="0022311F">
        <w:rPr>
          <w:rFonts w:eastAsiaTheme="minorEastAsia"/>
          <w:sz w:val="28"/>
          <w:szCs w:val="28"/>
          <w:lang w:eastAsia="en-US"/>
        </w:rPr>
        <w:t xml:space="preserve"> - это</w:t>
      </w:r>
      <w:r>
        <w:rPr>
          <w:rFonts w:eastAsiaTheme="minorEastAsia"/>
          <w:sz w:val="28"/>
          <w:szCs w:val="28"/>
          <w:lang w:eastAsia="en-US"/>
        </w:rPr>
        <w:t xml:space="preserve"> глобализация</w:t>
      </w:r>
      <w:r w:rsidR="0022311F">
        <w:rPr>
          <w:rFonts w:eastAsiaTheme="minorEastAsia"/>
          <w:sz w:val="28"/>
          <w:szCs w:val="28"/>
          <w:lang w:eastAsia="en-US"/>
        </w:rPr>
        <w:t xml:space="preserve"> и регионализация</w:t>
      </w:r>
      <w:r>
        <w:rPr>
          <w:rFonts w:eastAsiaTheme="minorEastAsia"/>
          <w:sz w:val="28"/>
          <w:szCs w:val="28"/>
          <w:lang w:eastAsia="en-US"/>
        </w:rPr>
        <w:t>.</w:t>
      </w:r>
      <w:r w:rsidR="0022311F">
        <w:rPr>
          <w:rFonts w:eastAsiaTheme="minorEastAsia"/>
          <w:sz w:val="28"/>
          <w:szCs w:val="28"/>
          <w:lang w:eastAsia="en-US"/>
        </w:rPr>
        <w:t xml:space="preserve"> Европейская интеграция и глобализация веду</w:t>
      </w:r>
      <w:r>
        <w:rPr>
          <w:rFonts w:eastAsiaTheme="minorEastAsia"/>
          <w:sz w:val="28"/>
          <w:szCs w:val="28"/>
          <w:lang w:eastAsia="en-US"/>
        </w:rPr>
        <w:t>т к укрупнению бизнеса,  компании стремятся выйти на новые ры</w:t>
      </w:r>
      <w:r w:rsidR="00826AC1">
        <w:rPr>
          <w:rFonts w:eastAsiaTheme="minorEastAsia"/>
          <w:sz w:val="28"/>
          <w:szCs w:val="28"/>
          <w:lang w:eastAsia="en-US"/>
        </w:rPr>
        <w:t>н</w:t>
      </w:r>
      <w:r>
        <w:rPr>
          <w:rFonts w:eastAsiaTheme="minorEastAsia"/>
          <w:sz w:val="28"/>
          <w:szCs w:val="28"/>
          <w:lang w:eastAsia="en-US"/>
        </w:rPr>
        <w:t xml:space="preserve">ки, расширять производства, функционировать на мировом уровне. Таким образом, </w:t>
      </w:r>
      <w:r>
        <w:rPr>
          <w:sz w:val="28"/>
          <w:szCs w:val="28"/>
        </w:rPr>
        <w:t>слияния</w:t>
      </w:r>
      <w:r w:rsidR="00806912">
        <w:rPr>
          <w:sz w:val="28"/>
          <w:szCs w:val="28"/>
        </w:rPr>
        <w:t xml:space="preserve"> и поглощения являются важнейшим</w:t>
      </w:r>
      <w:r>
        <w:rPr>
          <w:sz w:val="28"/>
          <w:szCs w:val="28"/>
        </w:rPr>
        <w:t xml:space="preserve"> инструмент</w:t>
      </w:r>
      <w:r w:rsidR="0080691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55F41">
        <w:rPr>
          <w:rFonts w:eastAsiaTheme="minorEastAsia"/>
          <w:sz w:val="28"/>
          <w:szCs w:val="28"/>
          <w:lang w:eastAsia="en-US"/>
        </w:rPr>
        <w:t>повышения конкурентоспособности</w:t>
      </w:r>
      <w:r w:rsidRPr="00D55F41">
        <w:rPr>
          <w:rFonts w:ascii="Times" w:eastAsiaTheme="minorEastAsia" w:hAnsi="Times" w:cs="Times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>компани</w:t>
      </w:r>
      <w:r w:rsidR="0067565E">
        <w:rPr>
          <w:rFonts w:eastAsiaTheme="minorEastAsia"/>
          <w:sz w:val="28"/>
          <w:szCs w:val="28"/>
          <w:lang w:eastAsia="en-US"/>
        </w:rPr>
        <w:t>й в современных условиях, цель которого заключается в повышении</w:t>
      </w:r>
      <w:r>
        <w:rPr>
          <w:rFonts w:eastAsiaTheme="minorEastAsia"/>
          <w:sz w:val="28"/>
          <w:szCs w:val="28"/>
          <w:lang w:eastAsia="en-US"/>
        </w:rPr>
        <w:t xml:space="preserve"> эффективнос</w:t>
      </w:r>
      <w:r w:rsidR="0067565E">
        <w:rPr>
          <w:rFonts w:eastAsiaTheme="minorEastAsia"/>
          <w:sz w:val="28"/>
          <w:szCs w:val="28"/>
          <w:lang w:eastAsia="en-US"/>
        </w:rPr>
        <w:t>ти компаний и более рациональном и экономически выгодном распределении</w:t>
      </w:r>
      <w:r>
        <w:rPr>
          <w:rFonts w:eastAsiaTheme="minorEastAsia"/>
          <w:sz w:val="28"/>
          <w:szCs w:val="28"/>
          <w:lang w:eastAsia="en-US"/>
        </w:rPr>
        <w:t xml:space="preserve"> ресурсов. </w:t>
      </w:r>
    </w:p>
    <w:p w14:paraId="2955FB83" w14:textId="192787B7" w:rsidR="00683B22" w:rsidRDefault="0022311F" w:rsidP="0069490B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ab/>
        <w:t>Однако слияния и поглощения способны нанести ущерб «справедливой» конкуренции. Ведь, неконтролируемое укрупнение бизнеса может привести к возникновению</w:t>
      </w:r>
      <w:r w:rsidR="002E0625">
        <w:rPr>
          <w:rFonts w:eastAsiaTheme="minorEastAsia"/>
          <w:sz w:val="28"/>
          <w:szCs w:val="28"/>
          <w:lang w:eastAsia="en-US"/>
        </w:rPr>
        <w:t xml:space="preserve"> игроков, доминирующих на рынке, к монопольной власти отдельных компаний. Таким образом, создаются барьеры входа на рынок для конкурентов, а компания может повышать цены на продукцию. Для того, чтобы не допустить во</w:t>
      </w:r>
      <w:r w:rsidR="001507BB">
        <w:rPr>
          <w:rFonts w:eastAsiaTheme="minorEastAsia"/>
          <w:sz w:val="28"/>
          <w:szCs w:val="28"/>
          <w:lang w:eastAsia="en-US"/>
        </w:rPr>
        <w:t>зникновение монополий (именно</w:t>
      </w:r>
      <w:r w:rsidR="002E0625">
        <w:rPr>
          <w:rFonts w:eastAsiaTheme="minorEastAsia"/>
          <w:sz w:val="28"/>
          <w:szCs w:val="28"/>
          <w:lang w:eastAsia="en-US"/>
        </w:rPr>
        <w:t xml:space="preserve"> предотвратить их появление, а не бороться с ним</w:t>
      </w:r>
      <w:r w:rsidR="00001BEE">
        <w:rPr>
          <w:rFonts w:eastAsiaTheme="minorEastAsia"/>
          <w:sz w:val="28"/>
          <w:szCs w:val="28"/>
          <w:lang w:eastAsia="en-US"/>
        </w:rPr>
        <w:t xml:space="preserve">и), был разработан </w:t>
      </w:r>
      <w:r w:rsidR="00001BEE">
        <w:rPr>
          <w:sz w:val="28"/>
          <w:szCs w:val="28"/>
        </w:rPr>
        <w:t>наднациональный инструмент регулирования слияний и поглощений и поддержания конкурентной среды н</w:t>
      </w:r>
      <w:r w:rsidR="0067565E">
        <w:rPr>
          <w:sz w:val="28"/>
          <w:szCs w:val="28"/>
        </w:rPr>
        <w:t>а всей территории Европейского С</w:t>
      </w:r>
      <w:r w:rsidR="00001BEE">
        <w:rPr>
          <w:sz w:val="28"/>
          <w:szCs w:val="28"/>
        </w:rPr>
        <w:t>оюза.</w:t>
      </w:r>
      <w:r w:rsidR="001507BB">
        <w:rPr>
          <w:sz w:val="28"/>
          <w:szCs w:val="28"/>
        </w:rPr>
        <w:t xml:space="preserve"> </w:t>
      </w:r>
      <w:r w:rsidR="00683B22">
        <w:rPr>
          <w:sz w:val="28"/>
          <w:szCs w:val="28"/>
        </w:rPr>
        <w:t>Это эффективный механизм, регламентирующий процедуру рассмотрения сделок слияний и поглощений, их воздействия на конкурентную среду</w:t>
      </w:r>
      <w:r w:rsidR="00CB46D3">
        <w:rPr>
          <w:sz w:val="28"/>
          <w:szCs w:val="28"/>
        </w:rPr>
        <w:t>.</w:t>
      </w:r>
    </w:p>
    <w:p w14:paraId="76A7AD0F" w14:textId="17CD4B41" w:rsidR="00683B22" w:rsidRDefault="003E521A" w:rsidP="006949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Сегодня, во время экономического и финансового кризиса в Европе, поддержание «справедливой» конкуренции </w:t>
      </w:r>
      <w:r w:rsidR="00CB46D3">
        <w:rPr>
          <w:sz w:val="28"/>
          <w:szCs w:val="28"/>
        </w:rPr>
        <w:t xml:space="preserve"> - задача особ</w:t>
      </w:r>
      <w:r w:rsidR="00612CFE">
        <w:rPr>
          <w:sz w:val="28"/>
          <w:szCs w:val="28"/>
        </w:rPr>
        <w:t>о актуальная</w:t>
      </w:r>
      <w:r w:rsidR="00631B0C">
        <w:rPr>
          <w:sz w:val="28"/>
          <w:szCs w:val="28"/>
        </w:rPr>
        <w:t>. Не</w:t>
      </w:r>
      <w:r>
        <w:rPr>
          <w:sz w:val="28"/>
          <w:szCs w:val="28"/>
        </w:rPr>
        <w:t>смотря на то, что отдельные страны критикуют конкурентную политику ЕС, утверждая, что она не позволяет создавать корпорации, способные конкурировать на мировом уровне</w:t>
      </w:r>
      <w:r w:rsidR="00612CFE">
        <w:rPr>
          <w:sz w:val="28"/>
          <w:szCs w:val="28"/>
        </w:rPr>
        <w:t>, Евросоюз не намерен ослаблять антимонопольное законодательство.</w:t>
      </w:r>
      <w:r w:rsidR="00C02DD0">
        <w:rPr>
          <w:sz w:val="28"/>
          <w:szCs w:val="28"/>
        </w:rPr>
        <w:t xml:space="preserve"> Конкуренция способствует инновационному развитию, эффективному распределению ресурсов, </w:t>
      </w:r>
      <w:r w:rsidR="00062A78">
        <w:rPr>
          <w:sz w:val="28"/>
          <w:szCs w:val="28"/>
        </w:rPr>
        <w:t>ведет к</w:t>
      </w:r>
      <w:r w:rsidR="0067565E">
        <w:rPr>
          <w:sz w:val="28"/>
          <w:szCs w:val="28"/>
        </w:rPr>
        <w:t xml:space="preserve"> устойчивому развитию экономики.</w:t>
      </w:r>
    </w:p>
    <w:p w14:paraId="1A78C690" w14:textId="5A9D6F72" w:rsidR="002B0EF9" w:rsidRDefault="002B0EF9" w:rsidP="00CB46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касается присутствия российских компаний в Европе, их число невелико, и Евросоюз не спешит пускать инвестиции из Росс</w:t>
      </w:r>
      <w:r w:rsidR="0067565E">
        <w:rPr>
          <w:sz w:val="28"/>
          <w:szCs w:val="28"/>
        </w:rPr>
        <w:t>ии в некоторые ключевые отрасли. Это</w:t>
      </w:r>
      <w:r>
        <w:rPr>
          <w:sz w:val="28"/>
          <w:szCs w:val="28"/>
        </w:rPr>
        <w:t xml:space="preserve"> связано с политическими рисками, имиджем российского бизнеса.</w:t>
      </w:r>
      <w:r w:rsidR="00DA540D">
        <w:rPr>
          <w:sz w:val="28"/>
          <w:szCs w:val="28"/>
        </w:rPr>
        <w:t xml:space="preserve"> </w:t>
      </w:r>
      <w:r w:rsidR="00A755DB">
        <w:rPr>
          <w:sz w:val="28"/>
          <w:szCs w:val="28"/>
        </w:rPr>
        <w:t>России необходимо постепенно переходить к большей прозрачности операций, открытости и публичности сделок.</w:t>
      </w:r>
      <w:r w:rsidR="00CD478E">
        <w:rPr>
          <w:sz w:val="28"/>
          <w:szCs w:val="28"/>
        </w:rPr>
        <w:t xml:space="preserve"> </w:t>
      </w:r>
      <w:r w:rsidR="0067565E">
        <w:rPr>
          <w:sz w:val="28"/>
          <w:szCs w:val="28"/>
        </w:rPr>
        <w:t>Необходимо</w:t>
      </w:r>
      <w:r w:rsidR="00CD478E" w:rsidRPr="00872DF7">
        <w:rPr>
          <w:sz w:val="28"/>
          <w:szCs w:val="28"/>
        </w:rPr>
        <w:t xml:space="preserve"> четкое правовое регулирование процесса совершения сделок и, возможно, приближение российского антимонопольного законодательства к европейским</w:t>
      </w:r>
      <w:r w:rsidR="00CD478E">
        <w:rPr>
          <w:sz w:val="28"/>
          <w:szCs w:val="28"/>
        </w:rPr>
        <w:t xml:space="preserve"> стандартам. Таким образом, необходимо</w:t>
      </w:r>
      <w:r w:rsidR="00A755DB">
        <w:rPr>
          <w:sz w:val="28"/>
          <w:szCs w:val="28"/>
        </w:rPr>
        <w:t xml:space="preserve"> строить модель дальнейшего сотрудничества на сближении антимонопольного</w:t>
      </w:r>
      <w:r w:rsidR="00CD478E">
        <w:rPr>
          <w:sz w:val="28"/>
          <w:szCs w:val="28"/>
        </w:rPr>
        <w:t xml:space="preserve"> законодательства двух регионов.</w:t>
      </w:r>
    </w:p>
    <w:p w14:paraId="25FC4365" w14:textId="59157F6C" w:rsidR="00CB46D3" w:rsidRPr="00062A78" w:rsidRDefault="00CD478E" w:rsidP="006949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сотрудничество в сфере конкурентной политики </w:t>
      </w:r>
      <w:r w:rsidR="00872DF7">
        <w:rPr>
          <w:sz w:val="28"/>
          <w:szCs w:val="28"/>
        </w:rPr>
        <w:t xml:space="preserve">с другими регионами – одна </w:t>
      </w:r>
      <w:r>
        <w:rPr>
          <w:sz w:val="28"/>
          <w:szCs w:val="28"/>
        </w:rPr>
        <w:t xml:space="preserve"> </w:t>
      </w:r>
      <w:r w:rsidR="00872DF7">
        <w:rPr>
          <w:sz w:val="28"/>
          <w:szCs w:val="28"/>
        </w:rPr>
        <w:t xml:space="preserve">из важных задач Европейской комиссии. </w:t>
      </w:r>
      <w:r w:rsidR="00062A78">
        <w:rPr>
          <w:sz w:val="28"/>
          <w:szCs w:val="28"/>
        </w:rPr>
        <w:t>Глобализация требует гармонизации антимонопольного законодательства. Так, соглашения о сотрудничестве уже были достигнуты с  США, Канадой, Японией и Кореей.</w:t>
      </w:r>
    </w:p>
    <w:p w14:paraId="3EEF7B7F" w14:textId="283767DD" w:rsidR="00612CFE" w:rsidRDefault="00CB46D3" w:rsidP="006949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5522">
        <w:rPr>
          <w:sz w:val="28"/>
          <w:szCs w:val="28"/>
        </w:rPr>
        <w:t>Таким образом,</w:t>
      </w:r>
      <w:r w:rsidR="00631B0C">
        <w:rPr>
          <w:sz w:val="28"/>
          <w:szCs w:val="28"/>
        </w:rPr>
        <w:t xml:space="preserve"> не</w:t>
      </w:r>
      <w:r w:rsidR="00612CFE">
        <w:rPr>
          <w:sz w:val="28"/>
          <w:szCs w:val="28"/>
        </w:rPr>
        <w:t xml:space="preserve">смотря на проблемы и критику, Европейский Союз создал эффективный механизм, поддерживающий конкуренцию на территории Европейского экономического сообщества, конечной целью которого являются интересы бизнесы и интересы потребителей, развитие экономики ЕС и </w:t>
      </w:r>
      <w:r w:rsidR="000224BD">
        <w:rPr>
          <w:sz w:val="28"/>
          <w:szCs w:val="28"/>
        </w:rPr>
        <w:t>поддержание высокого уровня жизни его граждан.</w:t>
      </w:r>
      <w:r w:rsidR="00612CFE">
        <w:rPr>
          <w:sz w:val="28"/>
          <w:szCs w:val="28"/>
        </w:rPr>
        <w:t xml:space="preserve"> </w:t>
      </w:r>
      <w:r w:rsidR="009E5C09">
        <w:rPr>
          <w:sz w:val="28"/>
          <w:szCs w:val="28"/>
        </w:rPr>
        <w:t>Европейский Союз, требуя от бизнеса прозрачности</w:t>
      </w:r>
      <w:r>
        <w:rPr>
          <w:sz w:val="28"/>
          <w:szCs w:val="28"/>
        </w:rPr>
        <w:t>,</w:t>
      </w:r>
      <w:r w:rsidR="009E5C09">
        <w:rPr>
          <w:sz w:val="28"/>
          <w:szCs w:val="28"/>
        </w:rPr>
        <w:t xml:space="preserve"> способствует его социально</w:t>
      </w:r>
      <w:r>
        <w:rPr>
          <w:sz w:val="28"/>
          <w:szCs w:val="28"/>
        </w:rPr>
        <w:t>й ответственности и способствует</w:t>
      </w:r>
      <w:r w:rsidR="009E5C09">
        <w:rPr>
          <w:sz w:val="28"/>
          <w:szCs w:val="28"/>
        </w:rPr>
        <w:t xml:space="preserve"> развитию бизнеса, ориентированного на интересы всех </w:t>
      </w:r>
      <w:r w:rsidR="006D1E54">
        <w:rPr>
          <w:sz w:val="28"/>
          <w:szCs w:val="28"/>
        </w:rPr>
        <w:t>заинтересованных сторон.</w:t>
      </w:r>
    </w:p>
    <w:p w14:paraId="23353F67" w14:textId="0153F007" w:rsidR="006D1E54" w:rsidRDefault="006D1E54" w:rsidP="006949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31A0BA6C" w14:textId="575B6326" w:rsidR="0069490B" w:rsidRPr="00196F5B" w:rsidRDefault="0069490B" w:rsidP="00196F5B">
      <w:pPr>
        <w:spacing w:line="360" w:lineRule="auto"/>
        <w:jc w:val="both"/>
        <w:rPr>
          <w:sz w:val="28"/>
          <w:szCs w:val="28"/>
        </w:rPr>
      </w:pPr>
    </w:p>
    <w:p w14:paraId="65C61C40" w14:textId="77777777" w:rsidR="00D654F0" w:rsidRDefault="00D654F0" w:rsidP="00196F5B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14:paraId="7C36A7BA" w14:textId="77777777" w:rsidR="00D654F0" w:rsidRDefault="00D654F0" w:rsidP="00E83668">
      <w:pPr>
        <w:spacing w:line="360" w:lineRule="auto"/>
        <w:rPr>
          <w:b/>
          <w:color w:val="FF0000"/>
          <w:sz w:val="32"/>
          <w:szCs w:val="32"/>
        </w:rPr>
      </w:pPr>
    </w:p>
    <w:p w14:paraId="57CD7AA9" w14:textId="77777777" w:rsidR="00D654F0" w:rsidRDefault="00D654F0" w:rsidP="00E83668">
      <w:pPr>
        <w:spacing w:line="360" w:lineRule="auto"/>
        <w:rPr>
          <w:b/>
          <w:color w:val="FF0000"/>
          <w:sz w:val="32"/>
          <w:szCs w:val="32"/>
        </w:rPr>
      </w:pPr>
    </w:p>
    <w:p w14:paraId="3CA36F7A" w14:textId="77777777" w:rsidR="00D654F0" w:rsidRPr="00100C50" w:rsidRDefault="00D654F0" w:rsidP="00E83668">
      <w:pPr>
        <w:spacing w:line="360" w:lineRule="auto"/>
        <w:rPr>
          <w:b/>
          <w:color w:val="FF0000"/>
          <w:sz w:val="32"/>
          <w:szCs w:val="32"/>
        </w:rPr>
      </w:pPr>
    </w:p>
    <w:p w14:paraId="160FE291" w14:textId="77777777" w:rsidR="007A31B1" w:rsidRPr="000446CC" w:rsidRDefault="007A31B1" w:rsidP="00FE622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A31B1" w:rsidRPr="000446CC" w:rsidSect="00D102A5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B4690" w14:textId="77777777" w:rsidR="00C82DF6" w:rsidRDefault="00C82DF6" w:rsidP="0067200F">
      <w:r>
        <w:separator/>
      </w:r>
    </w:p>
  </w:endnote>
  <w:endnote w:type="continuationSeparator" w:id="0">
    <w:p w14:paraId="3CB1CEEA" w14:textId="77777777" w:rsidR="00C82DF6" w:rsidRDefault="00C82DF6" w:rsidP="0067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EA69" w14:textId="77777777" w:rsidR="00C82DF6" w:rsidRDefault="00C82DF6" w:rsidP="00D56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71224" w14:textId="77777777" w:rsidR="00C82DF6" w:rsidRDefault="00C82DF6" w:rsidP="00D562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7140" w14:textId="77777777" w:rsidR="00C82DF6" w:rsidRDefault="00C82DF6" w:rsidP="00D562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1637C" w14:textId="77777777" w:rsidR="00C82DF6" w:rsidRDefault="00C82DF6" w:rsidP="0067200F">
      <w:r>
        <w:separator/>
      </w:r>
    </w:p>
  </w:footnote>
  <w:footnote w:type="continuationSeparator" w:id="0">
    <w:p w14:paraId="7BF60DDC" w14:textId="77777777" w:rsidR="00C82DF6" w:rsidRDefault="00C82DF6" w:rsidP="0067200F">
      <w:r>
        <w:continuationSeparator/>
      </w:r>
    </w:p>
  </w:footnote>
  <w:footnote w:id="1">
    <w:p w14:paraId="776E87E6" w14:textId="3A0FDCD8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2F5A">
        <w:t xml:space="preserve">Рид Ст. Ф., Лажу </w:t>
      </w:r>
      <w:proofErr w:type="spellStart"/>
      <w:r w:rsidRPr="00582F5A">
        <w:t>Ал.Р</w:t>
      </w:r>
      <w:proofErr w:type="spellEnd"/>
      <w:r w:rsidRPr="00582F5A">
        <w:t>. Искусство слияний и поглощений. М., Альпина Би</w:t>
      </w:r>
      <w:r>
        <w:t xml:space="preserve">знес Букс, 2004. </w:t>
      </w:r>
    </w:p>
  </w:footnote>
  <w:footnote w:id="2">
    <w:p w14:paraId="58ACB56A" w14:textId="7D413ED6" w:rsidR="00C82DF6" w:rsidRPr="005534BC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82F5A">
        <w:t>Гохан</w:t>
      </w:r>
      <w:proofErr w:type="spellEnd"/>
      <w:r w:rsidRPr="00582F5A">
        <w:t xml:space="preserve"> П. Слияния, поглощения и реструктуризация бизнеса. М.,; Альпина </w:t>
      </w:r>
      <w:proofErr w:type="spellStart"/>
      <w:r w:rsidRPr="00582F5A">
        <w:t>Паблишер</w:t>
      </w:r>
      <w:proofErr w:type="spellEnd"/>
      <w:r w:rsidRPr="00582F5A">
        <w:t>, 2010,</w:t>
      </w:r>
      <w:r>
        <w:t xml:space="preserve"> стр. 21</w:t>
      </w:r>
    </w:p>
  </w:footnote>
  <w:footnote w:id="3">
    <w:p w14:paraId="1669F53C" w14:textId="63E2D922" w:rsidR="00C82DF6" w:rsidRPr="005534BC" w:rsidRDefault="00C82DF6">
      <w:pPr>
        <w:pStyle w:val="FootnoteText"/>
      </w:pPr>
      <w:r>
        <w:rPr>
          <w:rStyle w:val="FootnoteReference"/>
        </w:rPr>
        <w:footnoteRef/>
      </w:r>
      <w:r>
        <w:t xml:space="preserve"> Цыганова Е.В. Слияния и поглощения – сравнительный анализ по праву ЕС, России и США, современные тенденции на рынке </w:t>
      </w:r>
      <w:r>
        <w:rPr>
          <w:lang w:val="en-US"/>
        </w:rPr>
        <w:t>M</w:t>
      </w:r>
      <w:r w:rsidRPr="005534BC">
        <w:t>&amp;</w:t>
      </w:r>
      <w:r>
        <w:rPr>
          <w:lang w:val="en-US"/>
        </w:rPr>
        <w:t>A</w:t>
      </w:r>
    </w:p>
  </w:footnote>
  <w:footnote w:id="4">
    <w:p w14:paraId="39B6306E" w14:textId="23CAB96D" w:rsidR="00C82DF6" w:rsidRPr="005534BC" w:rsidRDefault="00C82DF6" w:rsidP="00F824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34BC">
        <w:t xml:space="preserve">Гохан П. </w:t>
      </w:r>
      <w:r w:rsidRPr="005534BC">
        <w:t>Слияния, поглощения и реструктуризация Бизнеса</w:t>
      </w:r>
      <w:r>
        <w:t xml:space="preserve">, </w:t>
      </w:r>
      <w:r w:rsidRPr="005534BC">
        <w:t>С.154</w:t>
      </w:r>
    </w:p>
    <w:p w14:paraId="1D6CCB6C" w14:textId="77777777" w:rsidR="00C82DF6" w:rsidRDefault="00C82DF6" w:rsidP="00F82478">
      <w:pPr>
        <w:pStyle w:val="FootnoteText"/>
      </w:pPr>
    </w:p>
  </w:footnote>
  <w:footnote w:id="5">
    <w:p w14:paraId="45568CDB" w14:textId="4935E692" w:rsidR="00C82DF6" w:rsidRPr="002906EF" w:rsidRDefault="00C82DF6" w:rsidP="002906EF">
      <w:pPr>
        <w:widowControl w:val="0"/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bCs/>
          <w:color w:val="4D4D4D"/>
          <w:sz w:val="34"/>
          <w:szCs w:val="34"/>
          <w:lang w:val="en-US" w:eastAsia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proofErr w:type="spellStart"/>
      <w:r w:rsidRPr="002906EF">
        <w:rPr>
          <w:rFonts w:eastAsiaTheme="minorEastAsia"/>
          <w:lang w:val="en-US" w:eastAsia="en-US"/>
        </w:rPr>
        <w:t>Gugler</w:t>
      </w:r>
      <w:proofErr w:type="spellEnd"/>
      <w:r w:rsidRPr="002906EF">
        <w:rPr>
          <w:rFonts w:eastAsiaTheme="minorEastAsia"/>
          <w:lang w:val="en-US" w:eastAsia="en-US"/>
        </w:rPr>
        <w:t xml:space="preserve">, Klaus and Mueller, Dennis C. and </w:t>
      </w:r>
      <w:proofErr w:type="spellStart"/>
      <w:r w:rsidRPr="002906EF">
        <w:rPr>
          <w:rFonts w:eastAsiaTheme="minorEastAsia"/>
          <w:lang w:val="en-US" w:eastAsia="en-US"/>
        </w:rPr>
        <w:t>Weichselbaumer</w:t>
      </w:r>
      <w:proofErr w:type="spellEnd"/>
      <w:r w:rsidRPr="002906EF">
        <w:rPr>
          <w:rFonts w:eastAsiaTheme="minorEastAsia"/>
          <w:lang w:val="en-US" w:eastAsia="en-US"/>
        </w:rPr>
        <w:t xml:space="preserve">, Michael (2012) </w:t>
      </w:r>
      <w:proofErr w:type="gramStart"/>
      <w:r w:rsidRPr="002906EF">
        <w:rPr>
          <w:rFonts w:eastAsiaTheme="minorEastAsia"/>
          <w:lang w:val="en-US" w:eastAsia="en-US"/>
        </w:rPr>
        <w:t>The</w:t>
      </w:r>
      <w:proofErr w:type="gramEnd"/>
      <w:r w:rsidRPr="002906EF">
        <w:rPr>
          <w:rFonts w:eastAsiaTheme="minorEastAsia"/>
          <w:lang w:val="en-US" w:eastAsia="en-US"/>
        </w:rPr>
        <w:t xml:space="preserve"> determinants of merger waves: An international perspective. </w:t>
      </w:r>
      <w:proofErr w:type="gramStart"/>
      <w:r w:rsidRPr="002906EF">
        <w:rPr>
          <w:rFonts w:eastAsiaTheme="minorEastAsia"/>
          <w:i/>
          <w:iCs/>
          <w:lang w:val="en-US" w:eastAsia="en-US"/>
        </w:rPr>
        <w:t>International Journal of Industrial Organization</w:t>
      </w:r>
      <w:r w:rsidRPr="002906EF">
        <w:rPr>
          <w:rFonts w:eastAsiaTheme="minorEastAsia"/>
          <w:lang w:val="en-US" w:eastAsia="en-US"/>
        </w:rPr>
        <w:t>, 30 (1).</w:t>
      </w:r>
      <w:proofErr w:type="gramEnd"/>
      <w:r w:rsidRPr="002906EF">
        <w:rPr>
          <w:rFonts w:eastAsiaTheme="minorEastAsia"/>
          <w:lang w:val="en-US" w:eastAsia="en-US"/>
        </w:rPr>
        <w:t xml:space="preserve"> pp. 1-15.</w:t>
      </w:r>
    </w:p>
    <w:p w14:paraId="24668108" w14:textId="77777777" w:rsidR="00C82DF6" w:rsidRPr="002906EF" w:rsidRDefault="00C82DF6" w:rsidP="002906EF">
      <w:pPr>
        <w:pStyle w:val="FootnoteText"/>
        <w:rPr>
          <w:lang w:val="en-US"/>
        </w:rPr>
      </w:pPr>
    </w:p>
  </w:footnote>
  <w:footnote w:id="6">
    <w:p w14:paraId="3B39CABF" w14:textId="484C82D6" w:rsidR="00C82DF6" w:rsidRPr="008072F3" w:rsidRDefault="00C82DF6" w:rsidP="008072F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6"/>
          <w:szCs w:val="26"/>
          <w:lang w:eastAsia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proofErr w:type="spellStart"/>
      <w:r>
        <w:t>Гетьман</w:t>
      </w:r>
      <w:proofErr w:type="spellEnd"/>
      <w:r w:rsidRPr="005534BC">
        <w:rPr>
          <w:lang w:val="en-US"/>
        </w:rPr>
        <w:t>-</w:t>
      </w:r>
      <w:r>
        <w:t>Павлова</w:t>
      </w:r>
      <w:r w:rsidRPr="005534BC">
        <w:rPr>
          <w:lang w:val="en-US"/>
        </w:rPr>
        <w:t xml:space="preserve"> </w:t>
      </w:r>
      <w:r>
        <w:t>И</w:t>
      </w:r>
      <w:r w:rsidRPr="005534BC">
        <w:rPr>
          <w:lang w:val="en-US"/>
        </w:rPr>
        <w:t>.</w:t>
      </w:r>
      <w:r>
        <w:t>В</w:t>
      </w:r>
      <w:r w:rsidRPr="005534BC">
        <w:rPr>
          <w:lang w:val="en-US"/>
        </w:rPr>
        <w:t xml:space="preserve">. </w:t>
      </w:r>
      <w:r>
        <w:t>Слияния</w:t>
      </w:r>
      <w:r w:rsidRPr="005534BC">
        <w:rPr>
          <w:lang w:val="en-US"/>
        </w:rPr>
        <w:t xml:space="preserve"> </w:t>
      </w:r>
      <w:r>
        <w:t>и</w:t>
      </w:r>
      <w:r w:rsidRPr="005534BC">
        <w:rPr>
          <w:lang w:val="en-US"/>
        </w:rPr>
        <w:t xml:space="preserve"> </w:t>
      </w:r>
      <w:r>
        <w:t>поглощения</w:t>
      </w:r>
      <w:r w:rsidRPr="005534BC">
        <w:rPr>
          <w:lang w:val="en-US"/>
        </w:rPr>
        <w:t xml:space="preserve">: </w:t>
      </w:r>
      <w:r>
        <w:t>опыт</w:t>
      </w:r>
      <w:r w:rsidRPr="005534BC">
        <w:rPr>
          <w:lang w:val="en-US"/>
        </w:rPr>
        <w:t xml:space="preserve"> </w:t>
      </w:r>
      <w:r>
        <w:t>стран</w:t>
      </w:r>
      <w:r w:rsidRPr="005534BC">
        <w:rPr>
          <w:lang w:val="en-US"/>
        </w:rPr>
        <w:t>-</w:t>
      </w:r>
      <w:r>
        <w:t>членов</w:t>
      </w:r>
      <w:r w:rsidRPr="005534BC">
        <w:rPr>
          <w:lang w:val="en-US"/>
        </w:rPr>
        <w:t xml:space="preserve"> </w:t>
      </w:r>
      <w:r>
        <w:t>ЕС</w:t>
      </w:r>
      <w:r w:rsidRPr="005534BC">
        <w:rPr>
          <w:lang w:val="en-US"/>
        </w:rPr>
        <w:t xml:space="preserve">. </w:t>
      </w:r>
      <w:proofErr w:type="gramStart"/>
      <w:r w:rsidRPr="00EA146B">
        <w:rPr>
          <w:rFonts w:eastAsiaTheme="minorEastAsia"/>
          <w:lang w:val="en-US" w:eastAsia="en-US"/>
        </w:rPr>
        <w:t xml:space="preserve">// </w:t>
      </w:r>
      <w:proofErr w:type="spellStart"/>
      <w:r w:rsidRPr="00EA146B">
        <w:rPr>
          <w:rFonts w:eastAsiaTheme="minorEastAsia"/>
          <w:lang w:val="en-US" w:eastAsia="en-US"/>
        </w:rPr>
        <w:t>Бизнес</w:t>
      </w:r>
      <w:proofErr w:type="spellEnd"/>
      <w:r w:rsidRPr="00EA146B">
        <w:rPr>
          <w:rFonts w:eastAsiaTheme="minorEastAsia"/>
          <w:lang w:val="en-US" w:eastAsia="en-US"/>
        </w:rPr>
        <w:t xml:space="preserve"> и </w:t>
      </w:r>
      <w:proofErr w:type="spellStart"/>
      <w:r w:rsidRPr="00EA146B">
        <w:rPr>
          <w:rFonts w:eastAsiaTheme="minorEastAsia"/>
          <w:lang w:val="en-US" w:eastAsia="en-US"/>
        </w:rPr>
        <w:t>банки</w:t>
      </w:r>
      <w:proofErr w:type="spellEnd"/>
      <w:r w:rsidRPr="00EA146B">
        <w:rPr>
          <w:rFonts w:eastAsiaTheme="minorEastAsia"/>
          <w:lang w:val="en-US" w:eastAsia="en-US"/>
        </w:rPr>
        <w:t>.</w:t>
      </w:r>
      <w:proofErr w:type="gramEnd"/>
      <w:r w:rsidRPr="00EA146B">
        <w:rPr>
          <w:rFonts w:eastAsiaTheme="minorEastAsia"/>
          <w:lang w:val="en-US" w:eastAsia="en-US"/>
        </w:rPr>
        <w:t xml:space="preserve"> - 2008. - </w:t>
      </w:r>
      <w:proofErr w:type="spellStart"/>
      <w:r w:rsidRPr="00EA146B">
        <w:rPr>
          <w:rFonts w:eastAsiaTheme="minorEastAsia"/>
          <w:bCs/>
          <w:lang w:val="en-US" w:eastAsia="en-US"/>
        </w:rPr>
        <w:t>Апр</w:t>
      </w:r>
      <w:proofErr w:type="spellEnd"/>
      <w:r w:rsidRPr="00EA146B">
        <w:rPr>
          <w:rFonts w:eastAsiaTheme="minorEastAsia"/>
          <w:bCs/>
          <w:lang w:val="en-US" w:eastAsia="en-US"/>
        </w:rPr>
        <w:t xml:space="preserve">. </w:t>
      </w:r>
      <w:r w:rsidRPr="005534BC">
        <w:rPr>
          <w:rFonts w:eastAsiaTheme="minorEastAsia"/>
          <w:bCs/>
          <w:lang w:eastAsia="en-US"/>
        </w:rPr>
        <w:t>(№ 12)</w:t>
      </w:r>
      <w:r w:rsidRPr="005534BC">
        <w:rPr>
          <w:rFonts w:eastAsiaTheme="minorEastAsia"/>
          <w:lang w:eastAsia="en-US"/>
        </w:rPr>
        <w:t>. - С.1-5.</w:t>
      </w:r>
    </w:p>
  </w:footnote>
  <w:footnote w:id="7">
    <w:p w14:paraId="28427779" w14:textId="79E8A340" w:rsidR="00C82DF6" w:rsidRPr="0039129D" w:rsidRDefault="00C82DF6" w:rsidP="00B45F61">
      <w:pPr>
        <w:pStyle w:val="FootnoteText"/>
        <w:tabs>
          <w:tab w:val="left" w:pos="9072"/>
        </w:tabs>
        <w:rPr>
          <w:bCs/>
        </w:rPr>
      </w:pPr>
      <w:r>
        <w:rPr>
          <w:rStyle w:val="FootnoteReference"/>
        </w:rPr>
        <w:footnoteRef/>
      </w:r>
      <w:r>
        <w:t xml:space="preserve"> </w:t>
      </w:r>
      <w:r w:rsidRPr="0039129D">
        <w:t>Калашников Г.О. Слияния и</w:t>
      </w:r>
      <w:r>
        <w:t xml:space="preserve"> поглощения компаний по праву Европейского С</w:t>
      </w:r>
      <w:r w:rsidRPr="0039129D">
        <w:t>оюза. – М.: Международные отношения, 2007,</w:t>
      </w:r>
      <w:r w:rsidRPr="0039129D">
        <w:rPr>
          <w:bCs/>
        </w:rPr>
        <w:t xml:space="preserve"> </w:t>
      </w:r>
      <w:r w:rsidRPr="0039129D">
        <w:t>стр. 31</w:t>
      </w:r>
    </w:p>
  </w:footnote>
  <w:footnote w:id="8">
    <w:p w14:paraId="5BFC3B0B" w14:textId="712C3AAB" w:rsidR="00C82DF6" w:rsidRDefault="00C82DF6" w:rsidP="00B22E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305C">
        <w:t xml:space="preserve">Европейский союз. Справочник. Под ред. О.В. </w:t>
      </w:r>
      <w:proofErr w:type="spellStart"/>
      <w:r w:rsidRPr="00BE305C">
        <w:t>Буториной</w:t>
      </w:r>
      <w:proofErr w:type="spellEnd"/>
      <w:r w:rsidRPr="00BE305C">
        <w:t xml:space="preserve">, Ю.А. </w:t>
      </w:r>
      <w:proofErr w:type="spellStart"/>
      <w:r w:rsidRPr="00BE305C">
        <w:t>Борко</w:t>
      </w:r>
      <w:proofErr w:type="spellEnd"/>
      <w:r w:rsidRPr="00BE305C">
        <w:t xml:space="preserve">, И.Д. Иванова. </w:t>
      </w:r>
      <w:r>
        <w:t>М.: «Деловая литература», 2003</w:t>
      </w:r>
    </w:p>
  </w:footnote>
  <w:footnote w:id="9">
    <w:p w14:paraId="06115BFF" w14:textId="3338432B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Калашников Г.О. Слияние и поглощение компаний по праву Европейского Союза</w:t>
      </w:r>
    </w:p>
  </w:footnote>
  <w:footnote w:id="10">
    <w:p w14:paraId="660226EF" w14:textId="4B581B91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305C">
        <w:t xml:space="preserve">Европейская интеграция: учебник / под ред. О.В. </w:t>
      </w:r>
      <w:proofErr w:type="spellStart"/>
      <w:r w:rsidRPr="00BE305C">
        <w:t>Буториной</w:t>
      </w:r>
      <w:proofErr w:type="spellEnd"/>
      <w:r w:rsidRPr="00BE305C">
        <w:t xml:space="preserve">. – М.:   Издательский Дом «Деловая литература», 2011. </w:t>
      </w:r>
      <w:r>
        <w:t>Стр. 333</w:t>
      </w:r>
    </w:p>
  </w:footnote>
  <w:footnote w:id="11">
    <w:p w14:paraId="5552506F" w14:textId="1075A7C9" w:rsidR="00C82DF6" w:rsidRDefault="00C82DF6" w:rsidP="00B20103">
      <w:pPr>
        <w:pStyle w:val="FootnoteText"/>
        <w:tabs>
          <w:tab w:val="left" w:pos="9072"/>
        </w:tabs>
      </w:pPr>
      <w:r>
        <w:rPr>
          <w:rStyle w:val="FootnoteReference"/>
        </w:rPr>
        <w:footnoteRef/>
      </w:r>
      <w:r>
        <w:t xml:space="preserve"> </w:t>
      </w:r>
      <w:r>
        <w:t>Калашников Г.О. Слияние и поглощение компаний по праву Европейского Союза</w:t>
      </w:r>
      <w:r w:rsidRPr="005534BC">
        <w:t xml:space="preserve">, </w:t>
      </w:r>
      <w:r>
        <w:t>стр. 63</w:t>
      </w:r>
    </w:p>
  </w:footnote>
  <w:footnote w:id="12">
    <w:p w14:paraId="1D060DD3" w14:textId="5BF36090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2340">
        <w:rPr>
          <w:lang w:val="en-US"/>
        </w:rPr>
        <w:t xml:space="preserve">Council Regulation (EC) No 139/2004 of 20 January </w:t>
      </w:r>
      <w:r w:rsidRPr="00B70F70">
        <w:rPr>
          <w:lang w:val="en-US"/>
        </w:rPr>
        <w:t xml:space="preserve">2004 on the </w:t>
      </w:r>
      <w:hyperlink r:id="rId1" w:history="1">
        <w:r w:rsidRPr="00B70F70">
          <w:rPr>
            <w:rStyle w:val="Hyperlink"/>
            <w:color w:val="auto"/>
            <w:u w:val="none"/>
            <w:lang w:val="en-US"/>
          </w:rPr>
          <w:t>control of concentrations between undertakings (the EC Merger Regulation</w:t>
        </w:r>
      </w:hyperlink>
      <w:r w:rsidRPr="00B70F70">
        <w:rPr>
          <w:lang w:val="en-US"/>
        </w:rPr>
        <w:t xml:space="preserve">) Official </w:t>
      </w:r>
      <w:r w:rsidRPr="00A32340">
        <w:rPr>
          <w:lang w:val="en-US"/>
        </w:rPr>
        <w:t>Journal L 24, 29.01.2004</w:t>
      </w:r>
    </w:p>
  </w:footnote>
  <w:footnote w:id="13">
    <w:p w14:paraId="0998F834" w14:textId="7BDCA8F0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012E5">
        <w:rPr>
          <w:lang w:val="en-US"/>
        </w:rPr>
        <w:t>Пахомова</w:t>
      </w:r>
      <w:proofErr w:type="spellEnd"/>
      <w:r w:rsidRPr="00F012E5">
        <w:rPr>
          <w:lang w:val="en-US"/>
        </w:rPr>
        <w:t xml:space="preserve"> Н. В. РЕГУЛИРОВАНИЕ СДЕЛОК СЛИЯНИЙ И ПОГЛОЩЕНИЙ В США И ЕС: ЭКОНОМИКО-ПРАВОВЫЕ РАМКИ, СОВРЕМЕННЫЕ ТЕНДЕНЦИИ, УРОКИ ДЛЯ РОССИИ //</w:t>
      </w:r>
      <w:proofErr w:type="spellStart"/>
      <w:r w:rsidRPr="00F012E5">
        <w:rPr>
          <w:lang w:val="en-US"/>
        </w:rPr>
        <w:t>Вестн</w:t>
      </w:r>
      <w:proofErr w:type="spellEnd"/>
      <w:r w:rsidRPr="00F012E5">
        <w:rPr>
          <w:lang w:val="en-US"/>
        </w:rPr>
        <w:t xml:space="preserve">. </w:t>
      </w:r>
      <w:proofErr w:type="gramStart"/>
      <w:r w:rsidRPr="00F012E5">
        <w:rPr>
          <w:lang w:val="en-US"/>
        </w:rPr>
        <w:t>С.-</w:t>
      </w:r>
      <w:proofErr w:type="spellStart"/>
      <w:proofErr w:type="gramEnd"/>
      <w:r w:rsidRPr="00F012E5">
        <w:rPr>
          <w:lang w:val="en-US"/>
        </w:rPr>
        <w:t>петерб</w:t>
      </w:r>
      <w:proofErr w:type="spellEnd"/>
      <w:r w:rsidRPr="00F012E5">
        <w:rPr>
          <w:lang w:val="en-US"/>
        </w:rPr>
        <w:t xml:space="preserve">. </w:t>
      </w:r>
      <w:proofErr w:type="spellStart"/>
      <w:r w:rsidRPr="00F012E5">
        <w:rPr>
          <w:lang w:val="en-US"/>
        </w:rPr>
        <w:t>ун-та</w:t>
      </w:r>
      <w:proofErr w:type="spellEnd"/>
      <w:r w:rsidRPr="00F012E5">
        <w:rPr>
          <w:lang w:val="en-US"/>
        </w:rPr>
        <w:t xml:space="preserve">. </w:t>
      </w:r>
      <w:proofErr w:type="spellStart"/>
      <w:r w:rsidRPr="00F012E5">
        <w:rPr>
          <w:lang w:val="en-US"/>
        </w:rPr>
        <w:t>Сер</w:t>
      </w:r>
      <w:proofErr w:type="spellEnd"/>
      <w:r w:rsidRPr="00F012E5">
        <w:rPr>
          <w:lang w:val="en-US"/>
        </w:rPr>
        <w:t>. –</w:t>
      </w:r>
      <w:r>
        <w:rPr>
          <w:lang w:val="en-US"/>
        </w:rPr>
        <w:t xml:space="preserve"> 2010. – Т. 5. </w:t>
      </w:r>
      <w:r w:rsidRPr="00D33587">
        <w:t xml:space="preserve"> стр. 68</w:t>
      </w:r>
    </w:p>
  </w:footnote>
  <w:footnote w:id="14">
    <w:p w14:paraId="1A86D570" w14:textId="7422929A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305C">
        <w:t>Европейская интеграция: уч</w:t>
      </w:r>
      <w:r>
        <w:t xml:space="preserve">ебник / под ред. О.В. </w:t>
      </w:r>
      <w:proofErr w:type="spellStart"/>
      <w:r>
        <w:t>Буториной</w:t>
      </w:r>
      <w:proofErr w:type="spellEnd"/>
      <w:r>
        <w:t>,</w:t>
      </w:r>
      <w:r w:rsidRPr="00BE305C">
        <w:t xml:space="preserve"> </w:t>
      </w:r>
      <w:r>
        <w:t>стр. 336</w:t>
      </w:r>
    </w:p>
  </w:footnote>
  <w:footnote w:id="15">
    <w:p w14:paraId="63492C4D" w14:textId="0FE33C5C" w:rsidR="00C82DF6" w:rsidRPr="005534BC" w:rsidRDefault="00C82DF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3561C">
        <w:t>Пахомова Н.В. Регулирование сделок слияний и поглощ</w:t>
      </w:r>
      <w:r>
        <w:t>ений</w:t>
      </w:r>
      <w:r w:rsidRPr="00F3561C">
        <w:t xml:space="preserve"> в США и ЕС: экономико-правовые рамки, современ</w:t>
      </w:r>
      <w:r>
        <w:t>ные тенденции, уроки для России,</w:t>
      </w:r>
      <w:r w:rsidRPr="005534BC">
        <w:rPr>
          <w:lang w:val="en-US"/>
        </w:rPr>
        <w:t xml:space="preserve"> </w:t>
      </w:r>
      <w:proofErr w:type="spellStart"/>
      <w:r w:rsidRPr="00F3561C">
        <w:t>стр</w:t>
      </w:r>
      <w:proofErr w:type="spellEnd"/>
      <w:r w:rsidRPr="005534BC">
        <w:rPr>
          <w:lang w:val="en-US"/>
        </w:rPr>
        <w:t>. 69</w:t>
      </w:r>
    </w:p>
  </w:footnote>
  <w:footnote w:id="16">
    <w:p w14:paraId="1C0E6313" w14:textId="31A5B606" w:rsidR="00C82DF6" w:rsidRPr="005534BC" w:rsidRDefault="00C82DF6">
      <w:pPr>
        <w:pStyle w:val="FootnoteText"/>
        <w:rPr>
          <w:lang w:val="en-US"/>
        </w:rPr>
      </w:pPr>
      <w:r w:rsidRPr="00F3561C"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proofErr w:type="spellStart"/>
      <w:r w:rsidRPr="003670BA">
        <w:rPr>
          <w:bCs/>
          <w:lang w:val="en-US"/>
        </w:rPr>
        <w:t>Parisi</w:t>
      </w:r>
      <w:proofErr w:type="spellEnd"/>
      <w:r w:rsidRPr="003670BA">
        <w:rPr>
          <w:bCs/>
          <w:lang w:val="en-US"/>
        </w:rPr>
        <w:t xml:space="preserve"> J. J. A simple guide to the EC merger regulation of 2004 //Antitrust Source, available at: http://www. </w:t>
      </w:r>
      <w:proofErr w:type="spellStart"/>
      <w:proofErr w:type="gramStart"/>
      <w:r w:rsidRPr="003670BA">
        <w:rPr>
          <w:bCs/>
          <w:lang w:val="en-US"/>
        </w:rPr>
        <w:t>abanet</w:t>
      </w:r>
      <w:proofErr w:type="spellEnd"/>
      <w:proofErr w:type="gramEnd"/>
      <w:r w:rsidRPr="003670BA">
        <w:rPr>
          <w:bCs/>
          <w:lang w:val="en-US"/>
        </w:rPr>
        <w:t xml:space="preserve">. </w:t>
      </w:r>
      <w:proofErr w:type="gramStart"/>
      <w:r w:rsidRPr="003670BA">
        <w:rPr>
          <w:bCs/>
          <w:lang w:val="en-US"/>
        </w:rPr>
        <w:t>org</w:t>
      </w:r>
      <w:proofErr w:type="gramEnd"/>
      <w:r w:rsidRPr="003670BA">
        <w:rPr>
          <w:bCs/>
          <w:lang w:val="en-US"/>
        </w:rPr>
        <w:t xml:space="preserve">/antitrust/source/01-05/jan05_full_source. </w:t>
      </w:r>
      <w:proofErr w:type="spellStart"/>
      <w:proofErr w:type="gramStart"/>
      <w:r w:rsidRPr="003670BA">
        <w:rPr>
          <w:bCs/>
          <w:lang w:val="en-US"/>
        </w:rPr>
        <w:t>pdf</w:t>
      </w:r>
      <w:proofErr w:type="spellEnd"/>
      <w:proofErr w:type="gramEnd"/>
      <w:r w:rsidRPr="003670BA">
        <w:rPr>
          <w:bCs/>
          <w:lang w:val="en-US"/>
        </w:rPr>
        <w:t>. – 2005.</w:t>
      </w:r>
    </w:p>
  </w:footnote>
  <w:footnote w:id="17">
    <w:p w14:paraId="30A8792F" w14:textId="77777777" w:rsidR="00C82DF6" w:rsidRPr="003D5FFC" w:rsidRDefault="00C82DF6" w:rsidP="006F0825">
      <w:pPr>
        <w:pStyle w:val="FootnoteText"/>
        <w:rPr>
          <w:lang w:val="en-US"/>
        </w:rPr>
      </w:pPr>
      <w:r w:rsidRPr="003D5FFC">
        <w:rPr>
          <w:rStyle w:val="FootnoteReference"/>
        </w:rPr>
        <w:footnoteRef/>
      </w:r>
      <w:r w:rsidRPr="003D5FFC">
        <w:t xml:space="preserve"> </w:t>
      </w:r>
      <w:proofErr w:type="spellStart"/>
      <w:r w:rsidRPr="003D5FFC">
        <w:rPr>
          <w:lang w:val="en-US"/>
        </w:rPr>
        <w:t>Joaquín</w:t>
      </w:r>
      <w:proofErr w:type="spellEnd"/>
      <w:r w:rsidRPr="003D5FFC">
        <w:rPr>
          <w:lang w:val="en-US"/>
        </w:rPr>
        <w:t xml:space="preserve"> </w:t>
      </w:r>
      <w:proofErr w:type="spellStart"/>
      <w:r w:rsidRPr="003D5FFC">
        <w:rPr>
          <w:lang w:val="en-US"/>
        </w:rPr>
        <w:t>Almunia</w:t>
      </w:r>
      <w:proofErr w:type="spellEnd"/>
      <w:r w:rsidRPr="003D5FFC">
        <w:rPr>
          <w:lang w:val="en-US"/>
        </w:rPr>
        <w:t xml:space="preserve"> Vice President of the European Commission responsible for Competition Policy Universal Music Group/EMI Music Press conference/ Brussels 21 September 2012</w:t>
      </w:r>
    </w:p>
  </w:footnote>
  <w:footnote w:id="18">
    <w:p w14:paraId="6F001E25" w14:textId="18D8DC36" w:rsidR="00C82DF6" w:rsidRPr="003D5FFC" w:rsidRDefault="00C82DF6">
      <w:pPr>
        <w:pStyle w:val="FootnoteText"/>
      </w:pPr>
      <w:r w:rsidRPr="003D5FFC">
        <w:rPr>
          <w:rStyle w:val="FootnoteReference"/>
        </w:rPr>
        <w:footnoteRef/>
      </w:r>
      <w:r w:rsidRPr="003D5FFC">
        <w:t xml:space="preserve"> </w:t>
      </w:r>
      <w:r w:rsidRPr="003D5FFC">
        <w:t>Кондратьева Н.Б. Конкуренция в ЕС: экономика, политика, право / Н.Б. Кондратьева ; Институт Европы РАН. – М.: Рус. сувенир, 2009, стр. 22</w:t>
      </w:r>
    </w:p>
  </w:footnote>
  <w:footnote w:id="19">
    <w:p w14:paraId="69077ACE" w14:textId="3F19458B" w:rsidR="00C82DF6" w:rsidRPr="003D5FFC" w:rsidRDefault="00C82DF6">
      <w:pPr>
        <w:pStyle w:val="FootnoteText"/>
      </w:pPr>
      <w:r w:rsidRPr="003D5FFC">
        <w:rPr>
          <w:rStyle w:val="FootnoteReference"/>
        </w:rPr>
        <w:footnoteRef/>
      </w:r>
      <w:r w:rsidRPr="003D5FFC">
        <w:t xml:space="preserve"> </w:t>
      </w:r>
      <w:r>
        <w:t xml:space="preserve">Статистика на сайте Европейской комиссии </w:t>
      </w:r>
      <w:r w:rsidRPr="003D5FFC">
        <w:t>http://ec.europa.eu/competition/mergers/statistics.pdf</w:t>
      </w:r>
    </w:p>
  </w:footnote>
  <w:footnote w:id="20">
    <w:p w14:paraId="39E2F2B2" w14:textId="034110B5" w:rsidR="00C82DF6" w:rsidRPr="003D5FFC" w:rsidRDefault="00C82DF6" w:rsidP="003D5F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5FFC">
        <w:t>Пахомова Н.В. Регулирование сделок слияний и поглощений в США и ЕС: экономико-правовые рамки, современные тенденции, уроки для России.</w:t>
      </w:r>
    </w:p>
  </w:footnote>
  <w:footnote w:id="21">
    <w:p w14:paraId="3B797D9A" w14:textId="23A8CB2D" w:rsidR="00C82DF6" w:rsidRPr="003D5FFC" w:rsidRDefault="00C82DF6" w:rsidP="003D5FFC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val="en-US" w:eastAsia="en-US"/>
        </w:rPr>
      </w:pPr>
      <w:r w:rsidRPr="003D5FFC">
        <w:rPr>
          <w:rStyle w:val="FootnoteReference"/>
        </w:rPr>
        <w:footnoteRef/>
      </w:r>
      <w:r w:rsidRPr="003D5FFC">
        <w:rPr>
          <w:lang w:val="en-US"/>
        </w:rPr>
        <w:t xml:space="preserve"> </w:t>
      </w:r>
      <w:proofErr w:type="gramStart"/>
      <w:r w:rsidRPr="003D5FFC">
        <w:rPr>
          <w:rFonts w:eastAsiaTheme="minorEastAsia"/>
          <w:lang w:val="en-US" w:eastAsia="en-US"/>
        </w:rPr>
        <w:t>Guidelines on the assessment of non-horizontal mergers under the Council Regulation on the control of concentration between undertakings (2008/C 265/07) // Official Journal of the European Union.18.10.2008.</w:t>
      </w:r>
      <w:proofErr w:type="gramEnd"/>
      <w:r w:rsidRPr="003D5FFC">
        <w:rPr>
          <w:rFonts w:eastAsiaTheme="minorEastAsia"/>
          <w:lang w:val="en-US" w:eastAsia="en-US"/>
        </w:rPr>
        <w:t xml:space="preserve"> </w:t>
      </w:r>
    </w:p>
  </w:footnote>
  <w:footnote w:id="22">
    <w:p w14:paraId="5D0D29D2" w14:textId="197F92F6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305C">
        <w:t>Европейский союз. Справ</w:t>
      </w:r>
      <w:r>
        <w:t xml:space="preserve">очник. Под ред. О.В. </w:t>
      </w:r>
      <w:proofErr w:type="spellStart"/>
      <w:r>
        <w:t>Буториной</w:t>
      </w:r>
      <w:proofErr w:type="spellEnd"/>
      <w:r>
        <w:t>, стр.55</w:t>
      </w:r>
    </w:p>
  </w:footnote>
  <w:footnote w:id="23">
    <w:p w14:paraId="77992BFD" w14:textId="22EFA370" w:rsidR="00C82DF6" w:rsidRPr="00023EFF" w:rsidRDefault="00C82DF6">
      <w:pPr>
        <w:pStyle w:val="FootnoteText"/>
        <w:rPr>
          <w:bCs/>
        </w:rPr>
      </w:pPr>
      <w:r>
        <w:rPr>
          <w:rStyle w:val="FootnoteReference"/>
        </w:rPr>
        <w:footnoteRef/>
      </w:r>
      <w:r>
        <w:t xml:space="preserve"> </w:t>
      </w:r>
      <w:r w:rsidRPr="00023EFF">
        <w:rPr>
          <w:bCs/>
        </w:rPr>
        <w:t>Влияние российской инвестиционной экспансии на образ России в Европе /  Под. ред. А.В. Кузнецов. – М.: ИМЭМО РАН, 2010. – 96 с.</w:t>
      </w:r>
    </w:p>
  </w:footnote>
  <w:footnote w:id="24">
    <w:p w14:paraId="3388CFD9" w14:textId="7DEF5286" w:rsidR="00C82DF6" w:rsidRPr="005534BC" w:rsidRDefault="00C82DF6" w:rsidP="00FE59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Романова Т. «Третий пакет и будущее «Газпрома»</w:t>
      </w:r>
      <w:r w:rsidRPr="005534BC">
        <w:t xml:space="preserve">// Россия в глобальной политике. </w:t>
      </w:r>
      <w:r w:rsidRPr="00231C05">
        <w:t xml:space="preserve">2007. </w:t>
      </w:r>
      <w:r w:rsidRPr="00FE59FE">
        <w:rPr>
          <w:lang w:val="en-US"/>
        </w:rPr>
        <w:t>No</w:t>
      </w:r>
      <w:r w:rsidRPr="005534BC">
        <w:t xml:space="preserve">6. </w:t>
      </w:r>
    </w:p>
    <w:p w14:paraId="4CF87EBB" w14:textId="7B373779" w:rsidR="00C82DF6" w:rsidRDefault="00C82DF6">
      <w:pPr>
        <w:pStyle w:val="FootnoteText"/>
      </w:pPr>
    </w:p>
  </w:footnote>
  <w:footnote w:id="25">
    <w:p w14:paraId="4184E7FD" w14:textId="714C425B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127A32">
        <w:rPr>
          <w:lang w:val="en-US"/>
        </w:rPr>
        <w:t>ЕЖЕГОДНОЙ М. X., БЛИЩЕНКО П. АКТУАЛЬНЫЕ ПРОБЛЕМЫ СОВРЕМЕННОГО МЕЖДУНАРОДНОГО ПРАВА //</w:t>
      </w:r>
      <w:proofErr w:type="spellStart"/>
      <w:r w:rsidRPr="00127A32">
        <w:rPr>
          <w:lang w:val="en-US"/>
        </w:rPr>
        <w:t>Материалы</w:t>
      </w:r>
      <w:proofErr w:type="spellEnd"/>
      <w:r w:rsidRPr="00127A32">
        <w:rPr>
          <w:lang w:val="en-US"/>
        </w:rPr>
        <w:t>.</w:t>
      </w:r>
      <w:proofErr w:type="gramEnd"/>
      <w:r w:rsidRPr="00127A32">
        <w:rPr>
          <w:lang w:val="en-US"/>
        </w:rPr>
        <w:t xml:space="preserve"> – 2012. – Т. 13. – С. 14.</w:t>
      </w:r>
    </w:p>
  </w:footnote>
  <w:footnote w:id="26">
    <w:p w14:paraId="3AAC0F4B" w14:textId="66C7E6F9" w:rsidR="00C82DF6" w:rsidRPr="00F734CD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«Что хорошо для «Газпрома» плохо для России, Институт современной России, 2012 г. </w:t>
      </w:r>
      <w:r w:rsidRPr="007354F1">
        <w:t>http://imrussia.org/ru/economy/338-unlearned-lessons-of-state-capitalism-what-is-good-for-gazprom-is-not-good-for-russia</w:t>
      </w:r>
    </w:p>
  </w:footnote>
  <w:footnote w:id="27">
    <w:p w14:paraId="45E71798" w14:textId="4D83BA6D" w:rsidR="00C82DF6" w:rsidRPr="007A6A22" w:rsidRDefault="00C82DF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r w:rsidRPr="007A6A22">
        <w:rPr>
          <w:lang w:val="en-US"/>
        </w:rPr>
        <w:t>Case No COMP/M.6801 - ROSNEFT/ TNK-BP Commission decision pursuant to Article 6(1)(b) of Council Regulation No 139/2004</w:t>
      </w:r>
    </w:p>
  </w:footnote>
  <w:footnote w:id="28">
    <w:p w14:paraId="41246605" w14:textId="579628EA" w:rsidR="00C82DF6" w:rsidRPr="00BD42E4" w:rsidRDefault="00C82DF6">
      <w:pPr>
        <w:pStyle w:val="FootnoteText"/>
      </w:pPr>
      <w:r w:rsidRPr="00BD42E4">
        <w:rPr>
          <w:rStyle w:val="FootnoteReference"/>
        </w:rPr>
        <w:footnoteRef/>
      </w:r>
      <w:r w:rsidRPr="00BD42E4">
        <w:t xml:space="preserve"> </w:t>
      </w:r>
      <w:r w:rsidRPr="00BD42E4">
        <w:rPr>
          <w:bCs/>
        </w:rPr>
        <w:t>Федеральный закон от 18 июля 2006 г. N 117-ФЗ "Об экспорте газа"</w:t>
      </w:r>
    </w:p>
  </w:footnote>
  <w:footnote w:id="29">
    <w:p w14:paraId="66D54DFF" w14:textId="43C80EB8" w:rsidR="00C82DF6" w:rsidRPr="005534BC" w:rsidRDefault="00C82DF6" w:rsidP="008B12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r w:rsidRPr="007A6A22">
        <w:rPr>
          <w:lang w:val="en-US"/>
        </w:rPr>
        <w:t>Case No COMP/M.6801 - ROSNEFT/ TNK-BP Commission decision pursuant to Article 6(1)(b) of Council Regulation No 139/2004</w:t>
      </w:r>
    </w:p>
  </w:footnote>
  <w:footnote w:id="30">
    <w:p w14:paraId="3CF0D441" w14:textId="2C60DB8B" w:rsidR="00C82DF6" w:rsidRPr="00060747" w:rsidRDefault="00C82DF6">
      <w:pPr>
        <w:pStyle w:val="FootnoteText"/>
      </w:pPr>
      <w:r w:rsidRPr="00060747">
        <w:rPr>
          <w:rStyle w:val="FootnoteReference"/>
        </w:rPr>
        <w:footnoteRef/>
      </w:r>
      <w:r w:rsidRPr="00060747">
        <w:t xml:space="preserve"> </w:t>
      </w:r>
      <w:r w:rsidRPr="007558D2">
        <w:rPr>
          <w:bCs/>
        </w:rPr>
        <w:t>Постановление Правительства РФ от 3 декабря 2004 г. N 739 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предприятия" (с изменениями и дополнениями)</w:t>
      </w:r>
    </w:p>
  </w:footnote>
  <w:footnote w:id="31">
    <w:p w14:paraId="385D3756" w14:textId="60B45D58" w:rsidR="00C82DF6" w:rsidRPr="005534BC" w:rsidRDefault="00C82DF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r w:rsidRPr="007A6A22">
        <w:rPr>
          <w:lang w:val="en-US"/>
        </w:rPr>
        <w:t>Case No COMP/M.6801 - ROSNEFT/ TNK-BP Commission decision pursuant to Article 6(1)(b) of Council Regulation No 139/2004</w:t>
      </w:r>
    </w:p>
  </w:footnote>
  <w:footnote w:id="32">
    <w:p w14:paraId="7DE56678" w14:textId="142A6ECC" w:rsidR="00C82DF6" w:rsidRPr="00F73CA1" w:rsidRDefault="00C82DF6" w:rsidP="00013775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eastAsia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r w:rsidRPr="00F73CA1">
        <w:rPr>
          <w:rFonts w:eastAsiaTheme="minorEastAsia"/>
          <w:color w:val="1A1A1A"/>
          <w:lang w:val="en-US" w:eastAsia="en-US"/>
        </w:rPr>
        <w:t xml:space="preserve">Heim M. Problems and process: European merger control and how to use it //Journal of Public Affairs. – 2004. – Т. 4. – №. 1. – С. </w:t>
      </w:r>
      <w:r w:rsidRPr="00F73CA1">
        <w:rPr>
          <w:rFonts w:eastAsiaTheme="minorEastAsia"/>
          <w:lang w:eastAsia="en-US"/>
        </w:rPr>
        <w:t>81</w:t>
      </w:r>
    </w:p>
  </w:footnote>
  <w:footnote w:id="33">
    <w:p w14:paraId="4416BE93" w14:textId="77777777" w:rsidR="00C82DF6" w:rsidRPr="00E74AA5" w:rsidRDefault="00C82DF6" w:rsidP="00E74AA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4AA5">
        <w:rPr>
          <w:lang w:val="en-US"/>
        </w:rPr>
        <w:t xml:space="preserve">Commission decision of 14 March 2000, Case COMP/M.1672, </w:t>
      </w:r>
      <w:r w:rsidRPr="00E74AA5">
        <w:rPr>
          <w:i/>
          <w:iCs/>
          <w:lang w:val="en-US"/>
        </w:rPr>
        <w:t>Volvo/</w:t>
      </w:r>
      <w:proofErr w:type="spellStart"/>
      <w:r w:rsidRPr="00E74AA5">
        <w:rPr>
          <w:i/>
          <w:iCs/>
          <w:lang w:val="en-US"/>
        </w:rPr>
        <w:t>Scania</w:t>
      </w:r>
      <w:proofErr w:type="spellEnd"/>
      <w:r w:rsidRPr="00E74AA5">
        <w:rPr>
          <w:lang w:val="en-US"/>
        </w:rPr>
        <w:t>, 2001 OJ L143/74.</w:t>
      </w:r>
    </w:p>
    <w:p w14:paraId="0DBD84DD" w14:textId="44672582" w:rsidR="00C82DF6" w:rsidRPr="003B70EA" w:rsidRDefault="00C82DF6" w:rsidP="003B70EA">
      <w:pPr>
        <w:pStyle w:val="FootnoteText"/>
        <w:rPr>
          <w:lang w:val="en-US"/>
        </w:rPr>
      </w:pPr>
    </w:p>
    <w:p w14:paraId="53F447D4" w14:textId="5555D082" w:rsidR="00C82DF6" w:rsidRDefault="00C82DF6">
      <w:pPr>
        <w:pStyle w:val="FootnoteText"/>
      </w:pPr>
    </w:p>
  </w:footnote>
  <w:footnote w:id="34">
    <w:p w14:paraId="53396173" w14:textId="77777777" w:rsidR="00C82DF6" w:rsidRPr="00DD5C28" w:rsidRDefault="00C82DF6" w:rsidP="00DD5C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D5C28">
        <w:rPr>
          <w:lang w:val="en-US"/>
        </w:rPr>
        <w:t xml:space="preserve">Commission decision of 26 Jan. 2011, Case COMP/M.5830, </w:t>
      </w:r>
      <w:r w:rsidRPr="00DD5C28">
        <w:rPr>
          <w:i/>
          <w:iCs/>
          <w:lang w:val="en-US"/>
        </w:rPr>
        <w:t>Olympic/</w:t>
      </w:r>
      <w:proofErr w:type="spellStart"/>
      <w:r w:rsidRPr="00DD5C28">
        <w:rPr>
          <w:i/>
          <w:iCs/>
          <w:lang w:val="en-US"/>
        </w:rPr>
        <w:t>Aeagean</w:t>
      </w:r>
      <w:proofErr w:type="spellEnd"/>
      <w:r w:rsidRPr="00DD5C28">
        <w:rPr>
          <w:i/>
          <w:iCs/>
          <w:lang w:val="en-US"/>
        </w:rPr>
        <w:t xml:space="preserve"> Airlines </w:t>
      </w:r>
      <w:r w:rsidRPr="00DD5C28">
        <w:rPr>
          <w:lang w:val="en-US"/>
        </w:rPr>
        <w:t>(appeal</w:t>
      </w:r>
    </w:p>
    <w:p w14:paraId="34A5215D" w14:textId="7856D72A" w:rsidR="00C82DF6" w:rsidRPr="002F6082" w:rsidRDefault="00C82DF6">
      <w:pPr>
        <w:pStyle w:val="FootnoteText"/>
        <w:rPr>
          <w:lang w:val="en-US"/>
        </w:rPr>
      </w:pPr>
      <w:proofErr w:type="gramStart"/>
      <w:r w:rsidRPr="00DD5C28">
        <w:rPr>
          <w:lang w:val="en-US"/>
        </w:rPr>
        <w:t>pending</w:t>
      </w:r>
      <w:proofErr w:type="gramEnd"/>
      <w:r w:rsidRPr="00DD5C28">
        <w:rPr>
          <w:lang w:val="en-US"/>
        </w:rPr>
        <w:t xml:space="preserve"> in Case T-202/11, </w:t>
      </w:r>
      <w:proofErr w:type="spellStart"/>
      <w:r w:rsidRPr="00DD5C28">
        <w:rPr>
          <w:lang w:val="en-US"/>
        </w:rPr>
        <w:t>Aeroporia</w:t>
      </w:r>
      <w:proofErr w:type="spellEnd"/>
      <w:r w:rsidRPr="00DD5C28">
        <w:rPr>
          <w:lang w:val="en-US"/>
        </w:rPr>
        <w:t xml:space="preserve"> </w:t>
      </w:r>
      <w:proofErr w:type="spellStart"/>
      <w:r w:rsidRPr="00DD5C28">
        <w:rPr>
          <w:lang w:val="en-US"/>
        </w:rPr>
        <w:t>Aigaiou</w:t>
      </w:r>
      <w:proofErr w:type="spellEnd"/>
      <w:r w:rsidRPr="00DD5C28">
        <w:rPr>
          <w:lang w:val="en-US"/>
        </w:rPr>
        <w:t xml:space="preserve"> </w:t>
      </w:r>
      <w:proofErr w:type="spellStart"/>
      <w:r w:rsidRPr="00DD5C28">
        <w:rPr>
          <w:lang w:val="en-US"/>
        </w:rPr>
        <w:t>Ae</w:t>
      </w:r>
      <w:r>
        <w:rPr>
          <w:lang w:val="en-US"/>
        </w:rPr>
        <w:t>roporiki</w:t>
      </w:r>
      <w:proofErr w:type="spellEnd"/>
      <w:r>
        <w:rPr>
          <w:lang w:val="en-US"/>
        </w:rPr>
        <w:t xml:space="preserve"> et al. v. Commission).</w:t>
      </w:r>
    </w:p>
  </w:footnote>
  <w:footnote w:id="35">
    <w:p w14:paraId="4D8DFC3A" w14:textId="77777777" w:rsidR="00C82DF6" w:rsidRPr="000F05CF" w:rsidRDefault="00C82DF6" w:rsidP="000F05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F05CF">
        <w:rPr>
          <w:lang w:val="en-US"/>
        </w:rPr>
        <w:t>Geradin</w:t>
      </w:r>
      <w:proofErr w:type="spellEnd"/>
      <w:r w:rsidRPr="000F05CF">
        <w:rPr>
          <w:lang w:val="en-US"/>
        </w:rPr>
        <w:t xml:space="preserve"> D., </w:t>
      </w:r>
      <w:proofErr w:type="spellStart"/>
      <w:r w:rsidRPr="000F05CF">
        <w:rPr>
          <w:lang w:val="en-US"/>
        </w:rPr>
        <w:t>Girgenson</w:t>
      </w:r>
      <w:proofErr w:type="spellEnd"/>
      <w:r w:rsidRPr="000F05CF">
        <w:rPr>
          <w:lang w:val="en-US"/>
        </w:rPr>
        <w:t xml:space="preserve"> I. Industrial Policy and European Merger Control Reassessment. – 2011. – №. 2011-053.</w:t>
      </w:r>
    </w:p>
    <w:p w14:paraId="00EE22CA" w14:textId="4276404F" w:rsidR="00C82DF6" w:rsidRDefault="00C82DF6" w:rsidP="000F05CF">
      <w:pPr>
        <w:pStyle w:val="FootnoteText"/>
        <w:ind w:left="360"/>
      </w:pPr>
    </w:p>
  </w:footnote>
  <w:footnote w:id="36">
    <w:p w14:paraId="4A5F452C" w14:textId="0BA062A6" w:rsidR="00C82DF6" w:rsidRPr="005534BC" w:rsidRDefault="00C82DF6" w:rsidP="00A81B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r w:rsidRPr="007354F1">
        <w:rPr>
          <w:lang w:val="en-US"/>
        </w:rPr>
        <w:t xml:space="preserve">Murray A. </w:t>
      </w:r>
      <w:proofErr w:type="gramStart"/>
      <w:r w:rsidRPr="007354F1">
        <w:rPr>
          <w:lang w:val="en-US"/>
        </w:rPr>
        <w:t>A fair Referee //The European Commission and EU competition policy, London.</w:t>
      </w:r>
      <w:proofErr w:type="gramEnd"/>
      <w:r w:rsidRPr="007354F1">
        <w:rPr>
          <w:lang w:val="en-US"/>
        </w:rPr>
        <w:t xml:space="preserve"> – 2004.</w:t>
      </w:r>
    </w:p>
  </w:footnote>
  <w:footnote w:id="37">
    <w:p w14:paraId="0FC6FC76" w14:textId="64F61803" w:rsidR="00C82DF6" w:rsidRDefault="00C82D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354F1">
        <w:rPr>
          <w:lang w:val="en-US"/>
        </w:rPr>
        <w:t>Monti</w:t>
      </w:r>
      <w:proofErr w:type="spellEnd"/>
      <w:r w:rsidRPr="007354F1">
        <w:rPr>
          <w:lang w:val="en-US"/>
        </w:rPr>
        <w:t xml:space="preserve"> M. </w:t>
      </w:r>
      <w:proofErr w:type="gramStart"/>
      <w:r w:rsidRPr="007354F1">
        <w:rPr>
          <w:lang w:val="en-US"/>
        </w:rPr>
        <w:t>A new strategy for the single market', report to the President of the European Commission, 9 May.</w:t>
      </w:r>
      <w:proofErr w:type="gramEnd"/>
      <w:r w:rsidRPr="007354F1">
        <w:rPr>
          <w:lang w:val="en-US"/>
        </w:rPr>
        <w:t xml:space="preserve"> – 2010.</w:t>
      </w:r>
    </w:p>
  </w:footnote>
  <w:footnote w:id="38">
    <w:p w14:paraId="37E14EEE" w14:textId="4F767E94" w:rsidR="00C82DF6" w:rsidRPr="005534BC" w:rsidRDefault="00C82DF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proofErr w:type="spellStart"/>
      <w:r>
        <w:rPr>
          <w:lang w:val="en-US"/>
        </w:rPr>
        <w:t>Статистика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сайта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Европейской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Комиссии</w:t>
      </w:r>
      <w:proofErr w:type="spellEnd"/>
      <w:r>
        <w:rPr>
          <w:lang w:val="en-US"/>
        </w:rPr>
        <w:t xml:space="preserve"> </w:t>
      </w:r>
      <w:r w:rsidRPr="00826AC1">
        <w:rPr>
          <w:lang w:val="en-US"/>
        </w:rPr>
        <w:t>http://ec.europa.eu/competition/mergers/statistics.pdf</w:t>
      </w:r>
    </w:p>
  </w:footnote>
  <w:footnote w:id="39">
    <w:p w14:paraId="5788B966" w14:textId="2BB3FF79" w:rsidR="00C82DF6" w:rsidRPr="00826AC1" w:rsidRDefault="00C82DF6" w:rsidP="00826AC1">
      <w:pPr>
        <w:widowControl w:val="0"/>
        <w:autoSpaceDE w:val="0"/>
        <w:autoSpaceDN w:val="0"/>
        <w:adjustRightInd w:val="0"/>
        <w:spacing w:after="240"/>
        <w:rPr>
          <w:rFonts w:eastAsiaTheme="minorEastAsia"/>
          <w:lang w:val="en-US" w:eastAsia="en-US"/>
        </w:rPr>
      </w:pPr>
      <w:r>
        <w:rPr>
          <w:rStyle w:val="FootnoteReference"/>
        </w:rPr>
        <w:footnoteRef/>
      </w:r>
      <w:r w:rsidRPr="005534BC">
        <w:rPr>
          <w:lang w:val="en-US"/>
        </w:rPr>
        <w:t xml:space="preserve"> </w:t>
      </w:r>
      <w:proofErr w:type="spellStart"/>
      <w:r w:rsidRPr="00826AC1">
        <w:rPr>
          <w:rFonts w:eastAsiaTheme="minorEastAsia"/>
          <w:lang w:val="en-US" w:eastAsia="en-US"/>
        </w:rPr>
        <w:t>Joaquín</w:t>
      </w:r>
      <w:proofErr w:type="spellEnd"/>
      <w:r w:rsidRPr="00826AC1">
        <w:rPr>
          <w:rFonts w:eastAsiaTheme="minorEastAsia"/>
          <w:lang w:val="en-US" w:eastAsia="en-US"/>
        </w:rPr>
        <w:t xml:space="preserve"> </w:t>
      </w:r>
      <w:proofErr w:type="spellStart"/>
      <w:r w:rsidRPr="00826AC1">
        <w:rPr>
          <w:rFonts w:eastAsiaTheme="minorEastAsia"/>
          <w:lang w:val="en-US" w:eastAsia="en-US"/>
        </w:rPr>
        <w:t>Almunia</w:t>
      </w:r>
      <w:proofErr w:type="spellEnd"/>
      <w:r w:rsidRPr="00826AC1">
        <w:rPr>
          <w:rFonts w:eastAsiaTheme="minorEastAsia"/>
          <w:lang w:val="en-US" w:eastAsia="en-US"/>
        </w:rPr>
        <w:t>, European Competition Forum</w:t>
      </w:r>
      <w:r>
        <w:rPr>
          <w:rFonts w:eastAsiaTheme="minorEastAsia"/>
          <w:lang w:val="en-US" w:eastAsia="en-US"/>
        </w:rPr>
        <w:t xml:space="preserve">, </w:t>
      </w:r>
      <w:r w:rsidRPr="00826AC1">
        <w:rPr>
          <w:rFonts w:eastAsiaTheme="minorEastAsia"/>
          <w:lang w:val="en-US" w:eastAsia="en-US"/>
        </w:rPr>
        <w:t>Brussels, 28 February 2013</w:t>
      </w:r>
    </w:p>
  </w:footnote>
  <w:footnote w:id="40">
    <w:p w14:paraId="61844C24" w14:textId="7F6AD623" w:rsidR="00C82DF6" w:rsidRDefault="00C82DF6" w:rsidP="00826A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B2952">
        <w:rPr>
          <w:lang w:val="en-US"/>
        </w:rPr>
        <w:t>Joaquín</w:t>
      </w:r>
      <w:proofErr w:type="spellEnd"/>
      <w:r w:rsidRPr="00EB2952">
        <w:rPr>
          <w:lang w:val="en-US"/>
        </w:rPr>
        <w:t xml:space="preserve"> </w:t>
      </w:r>
      <w:proofErr w:type="spellStart"/>
      <w:proofErr w:type="gramStart"/>
      <w:r w:rsidRPr="00EB2952">
        <w:rPr>
          <w:lang w:val="en-US"/>
        </w:rPr>
        <w:t>Almunia</w:t>
      </w:r>
      <w:proofErr w:type="spellEnd"/>
      <w:r w:rsidRPr="00EB2952">
        <w:rPr>
          <w:lang w:val="en-US"/>
        </w:rPr>
        <w:t xml:space="preserve"> </w:t>
      </w:r>
      <w:r>
        <w:rPr>
          <w:lang w:val="en-US"/>
        </w:rPr>
        <w:t>,</w:t>
      </w:r>
      <w:r w:rsidRPr="00EB2952">
        <w:rPr>
          <w:lang w:val="en-US"/>
        </w:rPr>
        <w:t>Policy</w:t>
      </w:r>
      <w:proofErr w:type="gramEnd"/>
      <w:r w:rsidRPr="00EB2952">
        <w:rPr>
          <w:lang w:val="en-US"/>
        </w:rPr>
        <w:t xml:space="preserve"> Objectives in Merger Control Fordham Competition Conference New York, 8 September 2011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BB083" w14:textId="77777777" w:rsidR="00C82DF6" w:rsidRDefault="00C82DF6" w:rsidP="00D10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C3860" w14:textId="77777777" w:rsidR="00C82DF6" w:rsidRDefault="00C82DF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2A55" w14:textId="77777777" w:rsidR="00C82DF6" w:rsidRDefault="00C82DF6" w:rsidP="00D10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D19">
      <w:rPr>
        <w:rStyle w:val="PageNumber"/>
        <w:noProof/>
      </w:rPr>
      <w:t>36</w:t>
    </w:r>
    <w:r>
      <w:rPr>
        <w:rStyle w:val="PageNumber"/>
      </w:rPr>
      <w:fldChar w:fldCharType="end"/>
    </w:r>
  </w:p>
  <w:p w14:paraId="1351A0BD" w14:textId="77777777" w:rsidR="00C82DF6" w:rsidRDefault="00C82D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915F1"/>
    <w:multiLevelType w:val="hybridMultilevel"/>
    <w:tmpl w:val="C206D53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024038"/>
    <w:multiLevelType w:val="hybridMultilevel"/>
    <w:tmpl w:val="615C5CAE"/>
    <w:lvl w:ilvl="0" w:tplc="AEA8E1D6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52E84"/>
    <w:multiLevelType w:val="hybridMultilevel"/>
    <w:tmpl w:val="684227D2"/>
    <w:lvl w:ilvl="0" w:tplc="36223F5A">
      <w:start w:val="1"/>
      <w:numFmt w:val="decimal"/>
      <w:lvlText w:val="%1."/>
      <w:lvlJc w:val="left"/>
      <w:pPr>
        <w:ind w:left="1000" w:hanging="64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B130D"/>
    <w:multiLevelType w:val="hybridMultilevel"/>
    <w:tmpl w:val="FC469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2C7B42"/>
    <w:multiLevelType w:val="hybridMultilevel"/>
    <w:tmpl w:val="2986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B5B2D"/>
    <w:multiLevelType w:val="multilevel"/>
    <w:tmpl w:val="10EA48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1B40617"/>
    <w:multiLevelType w:val="hybridMultilevel"/>
    <w:tmpl w:val="A2F6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67F"/>
    <w:multiLevelType w:val="multilevel"/>
    <w:tmpl w:val="306C02A0"/>
    <w:lvl w:ilvl="0">
      <w:start w:val="1"/>
      <w:numFmt w:val="decimal"/>
      <w:lvlText w:val="%1."/>
      <w:lvlJc w:val="left"/>
      <w:pPr>
        <w:ind w:left="1000" w:hanging="64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B390A"/>
    <w:multiLevelType w:val="hybridMultilevel"/>
    <w:tmpl w:val="FD3691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CD15182"/>
    <w:multiLevelType w:val="multilevel"/>
    <w:tmpl w:val="529E0F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FCB1DD3"/>
    <w:multiLevelType w:val="hybridMultilevel"/>
    <w:tmpl w:val="77E85DC8"/>
    <w:lvl w:ilvl="0" w:tplc="93522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B74DA"/>
    <w:multiLevelType w:val="hybridMultilevel"/>
    <w:tmpl w:val="4100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B50B0"/>
    <w:multiLevelType w:val="hybridMultilevel"/>
    <w:tmpl w:val="81F28C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9353480"/>
    <w:multiLevelType w:val="hybridMultilevel"/>
    <w:tmpl w:val="8CD8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B6EF7"/>
    <w:multiLevelType w:val="multilevel"/>
    <w:tmpl w:val="50C64A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52815"/>
    <w:multiLevelType w:val="hybridMultilevel"/>
    <w:tmpl w:val="306C02A0"/>
    <w:lvl w:ilvl="0" w:tplc="36223F5A">
      <w:start w:val="1"/>
      <w:numFmt w:val="decimal"/>
      <w:lvlText w:val="%1."/>
      <w:lvlJc w:val="left"/>
      <w:pPr>
        <w:ind w:left="1000" w:hanging="64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63A5D"/>
    <w:multiLevelType w:val="multilevel"/>
    <w:tmpl w:val="48925560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416B35"/>
    <w:multiLevelType w:val="hybridMultilevel"/>
    <w:tmpl w:val="E13C3B66"/>
    <w:lvl w:ilvl="0" w:tplc="AEA8E1D6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B2BF0"/>
    <w:multiLevelType w:val="multilevel"/>
    <w:tmpl w:val="48925560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03F7347"/>
    <w:multiLevelType w:val="hybridMultilevel"/>
    <w:tmpl w:val="6B72969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96C6B1A"/>
    <w:multiLevelType w:val="hybridMultilevel"/>
    <w:tmpl w:val="4AEEF0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A990C03"/>
    <w:multiLevelType w:val="hybridMultilevel"/>
    <w:tmpl w:val="BB484910"/>
    <w:lvl w:ilvl="0" w:tplc="92DC7DF2">
      <w:start w:val="1"/>
      <w:numFmt w:val="decimal"/>
      <w:lvlText w:val="%1."/>
      <w:lvlJc w:val="left"/>
      <w:pPr>
        <w:ind w:left="1000" w:hanging="6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95B71"/>
    <w:multiLevelType w:val="multilevel"/>
    <w:tmpl w:val="80F6E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3"/>
  </w:num>
  <w:num w:numId="5">
    <w:abstractNumId w:val="4"/>
  </w:num>
  <w:num w:numId="6">
    <w:abstractNumId w:val="9"/>
  </w:num>
  <w:num w:numId="7">
    <w:abstractNumId w:val="20"/>
  </w:num>
  <w:num w:numId="8">
    <w:abstractNumId w:val="1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8"/>
  </w:num>
  <w:num w:numId="16">
    <w:abstractNumId w:val="16"/>
  </w:num>
  <w:num w:numId="17">
    <w:abstractNumId w:val="22"/>
  </w:num>
  <w:num w:numId="18">
    <w:abstractNumId w:val="8"/>
  </w:num>
  <w:num w:numId="19">
    <w:abstractNumId w:val="15"/>
  </w:num>
  <w:num w:numId="20">
    <w:abstractNumId w:val="3"/>
  </w:num>
  <w:num w:numId="21">
    <w:abstractNumId w:val="19"/>
  </w:num>
  <w:num w:numId="22">
    <w:abstractNumId w:val="17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F"/>
    <w:rsid w:val="00001BEE"/>
    <w:rsid w:val="00010FE9"/>
    <w:rsid w:val="00013775"/>
    <w:rsid w:val="000224BD"/>
    <w:rsid w:val="00023EFF"/>
    <w:rsid w:val="00023F98"/>
    <w:rsid w:val="000251ED"/>
    <w:rsid w:val="00035C4F"/>
    <w:rsid w:val="00036068"/>
    <w:rsid w:val="000446CC"/>
    <w:rsid w:val="00047D0F"/>
    <w:rsid w:val="000501AC"/>
    <w:rsid w:val="00056235"/>
    <w:rsid w:val="00056E7A"/>
    <w:rsid w:val="00060747"/>
    <w:rsid w:val="00061DCB"/>
    <w:rsid w:val="00062272"/>
    <w:rsid w:val="00062A78"/>
    <w:rsid w:val="00063D95"/>
    <w:rsid w:val="00071B5E"/>
    <w:rsid w:val="00074024"/>
    <w:rsid w:val="00081BC9"/>
    <w:rsid w:val="0008212C"/>
    <w:rsid w:val="00084711"/>
    <w:rsid w:val="00085629"/>
    <w:rsid w:val="00091FDD"/>
    <w:rsid w:val="00094A91"/>
    <w:rsid w:val="000A0AB8"/>
    <w:rsid w:val="000A2DC4"/>
    <w:rsid w:val="000B03EC"/>
    <w:rsid w:val="000B38EC"/>
    <w:rsid w:val="000C5FAB"/>
    <w:rsid w:val="000C603E"/>
    <w:rsid w:val="000C7127"/>
    <w:rsid w:val="000D1FFA"/>
    <w:rsid w:val="000D2D34"/>
    <w:rsid w:val="000D7278"/>
    <w:rsid w:val="000E6096"/>
    <w:rsid w:val="000F05CF"/>
    <w:rsid w:val="000F15C3"/>
    <w:rsid w:val="000F2635"/>
    <w:rsid w:val="000F48BA"/>
    <w:rsid w:val="000F4F37"/>
    <w:rsid w:val="000F7018"/>
    <w:rsid w:val="000F79CA"/>
    <w:rsid w:val="000F7BF1"/>
    <w:rsid w:val="00100C50"/>
    <w:rsid w:val="00100E71"/>
    <w:rsid w:val="00104A2A"/>
    <w:rsid w:val="00110D2B"/>
    <w:rsid w:val="00113A2E"/>
    <w:rsid w:val="00117A94"/>
    <w:rsid w:val="0012026E"/>
    <w:rsid w:val="00124EF3"/>
    <w:rsid w:val="00127A32"/>
    <w:rsid w:val="00130C0D"/>
    <w:rsid w:val="00133396"/>
    <w:rsid w:val="00135D41"/>
    <w:rsid w:val="00143DBA"/>
    <w:rsid w:val="00144C2A"/>
    <w:rsid w:val="00147536"/>
    <w:rsid w:val="001507BB"/>
    <w:rsid w:val="00153B79"/>
    <w:rsid w:val="00155D19"/>
    <w:rsid w:val="001602F7"/>
    <w:rsid w:val="00162E49"/>
    <w:rsid w:val="00162FB2"/>
    <w:rsid w:val="00172395"/>
    <w:rsid w:val="0017768B"/>
    <w:rsid w:val="00180A9C"/>
    <w:rsid w:val="00187FD8"/>
    <w:rsid w:val="00194692"/>
    <w:rsid w:val="00195C3F"/>
    <w:rsid w:val="00196F5B"/>
    <w:rsid w:val="001A09D4"/>
    <w:rsid w:val="001A1F31"/>
    <w:rsid w:val="001A358A"/>
    <w:rsid w:val="001A680E"/>
    <w:rsid w:val="001A713A"/>
    <w:rsid w:val="001A7AC5"/>
    <w:rsid w:val="001C2482"/>
    <w:rsid w:val="001C4B1B"/>
    <w:rsid w:val="001C56BC"/>
    <w:rsid w:val="001C5FAC"/>
    <w:rsid w:val="001D5998"/>
    <w:rsid w:val="001D6802"/>
    <w:rsid w:val="001D7865"/>
    <w:rsid w:val="001E24E0"/>
    <w:rsid w:val="001F2AAA"/>
    <w:rsid w:val="00203646"/>
    <w:rsid w:val="00207CCE"/>
    <w:rsid w:val="002100A6"/>
    <w:rsid w:val="002107E6"/>
    <w:rsid w:val="00212D01"/>
    <w:rsid w:val="00212D9F"/>
    <w:rsid w:val="002140DC"/>
    <w:rsid w:val="00216683"/>
    <w:rsid w:val="00222433"/>
    <w:rsid w:val="0022311F"/>
    <w:rsid w:val="00224490"/>
    <w:rsid w:val="002251EA"/>
    <w:rsid w:val="0022648B"/>
    <w:rsid w:val="00230892"/>
    <w:rsid w:val="00230E94"/>
    <w:rsid w:val="00231C05"/>
    <w:rsid w:val="00234073"/>
    <w:rsid w:val="00237242"/>
    <w:rsid w:val="0024463E"/>
    <w:rsid w:val="002447B9"/>
    <w:rsid w:val="002538BA"/>
    <w:rsid w:val="00253F88"/>
    <w:rsid w:val="002574EA"/>
    <w:rsid w:val="00264D22"/>
    <w:rsid w:val="00264E2B"/>
    <w:rsid w:val="00266C9B"/>
    <w:rsid w:val="0027545E"/>
    <w:rsid w:val="002756A2"/>
    <w:rsid w:val="00282A5B"/>
    <w:rsid w:val="0029017C"/>
    <w:rsid w:val="002906EF"/>
    <w:rsid w:val="00291575"/>
    <w:rsid w:val="00291AAB"/>
    <w:rsid w:val="002960B0"/>
    <w:rsid w:val="002978B9"/>
    <w:rsid w:val="002A18C1"/>
    <w:rsid w:val="002B0EF9"/>
    <w:rsid w:val="002B2AA0"/>
    <w:rsid w:val="002B322B"/>
    <w:rsid w:val="002B586B"/>
    <w:rsid w:val="002C19F1"/>
    <w:rsid w:val="002C1EC2"/>
    <w:rsid w:val="002C445C"/>
    <w:rsid w:val="002D7047"/>
    <w:rsid w:val="002D7A90"/>
    <w:rsid w:val="002E0625"/>
    <w:rsid w:val="002E122F"/>
    <w:rsid w:val="002E2F0A"/>
    <w:rsid w:val="002E7768"/>
    <w:rsid w:val="002F00C6"/>
    <w:rsid w:val="002F6082"/>
    <w:rsid w:val="002F664C"/>
    <w:rsid w:val="003112C7"/>
    <w:rsid w:val="00313321"/>
    <w:rsid w:val="003135EB"/>
    <w:rsid w:val="00321686"/>
    <w:rsid w:val="003223D8"/>
    <w:rsid w:val="003252C5"/>
    <w:rsid w:val="0032530C"/>
    <w:rsid w:val="00326A1A"/>
    <w:rsid w:val="00332D20"/>
    <w:rsid w:val="0033337D"/>
    <w:rsid w:val="00336A5F"/>
    <w:rsid w:val="00337FF2"/>
    <w:rsid w:val="00342515"/>
    <w:rsid w:val="00354E53"/>
    <w:rsid w:val="00357005"/>
    <w:rsid w:val="0036000D"/>
    <w:rsid w:val="003645CE"/>
    <w:rsid w:val="003670BA"/>
    <w:rsid w:val="00374DF6"/>
    <w:rsid w:val="00376F80"/>
    <w:rsid w:val="003777F9"/>
    <w:rsid w:val="00381BB7"/>
    <w:rsid w:val="00384A15"/>
    <w:rsid w:val="00385D87"/>
    <w:rsid w:val="0038697E"/>
    <w:rsid w:val="0039129D"/>
    <w:rsid w:val="0039315C"/>
    <w:rsid w:val="0039350E"/>
    <w:rsid w:val="00395DA9"/>
    <w:rsid w:val="003A307C"/>
    <w:rsid w:val="003A4A8F"/>
    <w:rsid w:val="003A6F6F"/>
    <w:rsid w:val="003B287C"/>
    <w:rsid w:val="003B401C"/>
    <w:rsid w:val="003B44AD"/>
    <w:rsid w:val="003B70EA"/>
    <w:rsid w:val="003C00E5"/>
    <w:rsid w:val="003C0BF7"/>
    <w:rsid w:val="003C1A46"/>
    <w:rsid w:val="003C40F1"/>
    <w:rsid w:val="003D5FFC"/>
    <w:rsid w:val="003E28F1"/>
    <w:rsid w:val="003E3D66"/>
    <w:rsid w:val="003E4593"/>
    <w:rsid w:val="003E521A"/>
    <w:rsid w:val="003F1D61"/>
    <w:rsid w:val="003F7792"/>
    <w:rsid w:val="0040144E"/>
    <w:rsid w:val="00403BEB"/>
    <w:rsid w:val="00405A0D"/>
    <w:rsid w:val="00405F11"/>
    <w:rsid w:val="00411B75"/>
    <w:rsid w:val="00416283"/>
    <w:rsid w:val="00422324"/>
    <w:rsid w:val="00423851"/>
    <w:rsid w:val="004239D0"/>
    <w:rsid w:val="00424D6F"/>
    <w:rsid w:val="00426EEF"/>
    <w:rsid w:val="00435CCC"/>
    <w:rsid w:val="00441EE2"/>
    <w:rsid w:val="00443333"/>
    <w:rsid w:val="004471B5"/>
    <w:rsid w:val="004472E4"/>
    <w:rsid w:val="0045102A"/>
    <w:rsid w:val="00451B60"/>
    <w:rsid w:val="00453901"/>
    <w:rsid w:val="004634C8"/>
    <w:rsid w:val="004856E5"/>
    <w:rsid w:val="0049243D"/>
    <w:rsid w:val="00495FBF"/>
    <w:rsid w:val="004A1CC0"/>
    <w:rsid w:val="004A7FF9"/>
    <w:rsid w:val="004B0B36"/>
    <w:rsid w:val="004B1AF9"/>
    <w:rsid w:val="004B224B"/>
    <w:rsid w:val="004C29A9"/>
    <w:rsid w:val="004C3297"/>
    <w:rsid w:val="004C7D4F"/>
    <w:rsid w:val="004D194F"/>
    <w:rsid w:val="004D2730"/>
    <w:rsid w:val="004D5BE2"/>
    <w:rsid w:val="004E4813"/>
    <w:rsid w:val="004E60D6"/>
    <w:rsid w:val="004F04CA"/>
    <w:rsid w:val="004F54D4"/>
    <w:rsid w:val="00501E50"/>
    <w:rsid w:val="005028A2"/>
    <w:rsid w:val="0050614A"/>
    <w:rsid w:val="00512B07"/>
    <w:rsid w:val="00515277"/>
    <w:rsid w:val="005152CB"/>
    <w:rsid w:val="0055180F"/>
    <w:rsid w:val="005526BE"/>
    <w:rsid w:val="005534BC"/>
    <w:rsid w:val="00553605"/>
    <w:rsid w:val="00553C56"/>
    <w:rsid w:val="00553FF4"/>
    <w:rsid w:val="005541F2"/>
    <w:rsid w:val="00560ADE"/>
    <w:rsid w:val="0056294C"/>
    <w:rsid w:val="005630C9"/>
    <w:rsid w:val="0057089B"/>
    <w:rsid w:val="00570DEC"/>
    <w:rsid w:val="005731B1"/>
    <w:rsid w:val="00574F10"/>
    <w:rsid w:val="00577C83"/>
    <w:rsid w:val="00582F5A"/>
    <w:rsid w:val="005832B5"/>
    <w:rsid w:val="00585323"/>
    <w:rsid w:val="00586C02"/>
    <w:rsid w:val="00587938"/>
    <w:rsid w:val="005A2961"/>
    <w:rsid w:val="005B045A"/>
    <w:rsid w:val="005C2FEF"/>
    <w:rsid w:val="005C6F57"/>
    <w:rsid w:val="005D01A0"/>
    <w:rsid w:val="005D47B5"/>
    <w:rsid w:val="005D4FC4"/>
    <w:rsid w:val="005D546D"/>
    <w:rsid w:val="005E37E6"/>
    <w:rsid w:val="005F119A"/>
    <w:rsid w:val="005F2470"/>
    <w:rsid w:val="005F4FF2"/>
    <w:rsid w:val="005F5E70"/>
    <w:rsid w:val="0060355A"/>
    <w:rsid w:val="006036BD"/>
    <w:rsid w:val="00604368"/>
    <w:rsid w:val="00605DDA"/>
    <w:rsid w:val="00606DB3"/>
    <w:rsid w:val="00611290"/>
    <w:rsid w:val="00612CFE"/>
    <w:rsid w:val="006137F5"/>
    <w:rsid w:val="00614763"/>
    <w:rsid w:val="00621751"/>
    <w:rsid w:val="00626604"/>
    <w:rsid w:val="00627CF4"/>
    <w:rsid w:val="00631178"/>
    <w:rsid w:val="00631B0C"/>
    <w:rsid w:val="00635483"/>
    <w:rsid w:val="00635E23"/>
    <w:rsid w:val="00636166"/>
    <w:rsid w:val="006368AF"/>
    <w:rsid w:val="00640A13"/>
    <w:rsid w:val="00642108"/>
    <w:rsid w:val="00642C36"/>
    <w:rsid w:val="00650848"/>
    <w:rsid w:val="00650AEB"/>
    <w:rsid w:val="006519AB"/>
    <w:rsid w:val="006547F1"/>
    <w:rsid w:val="0065629B"/>
    <w:rsid w:val="00661C14"/>
    <w:rsid w:val="00664502"/>
    <w:rsid w:val="00667F74"/>
    <w:rsid w:val="00670CF0"/>
    <w:rsid w:val="0067200F"/>
    <w:rsid w:val="0067565E"/>
    <w:rsid w:val="00681550"/>
    <w:rsid w:val="0068168B"/>
    <w:rsid w:val="00683B22"/>
    <w:rsid w:val="00684446"/>
    <w:rsid w:val="006871F5"/>
    <w:rsid w:val="0069490B"/>
    <w:rsid w:val="006A259C"/>
    <w:rsid w:val="006B1CD0"/>
    <w:rsid w:val="006B325C"/>
    <w:rsid w:val="006C3E5B"/>
    <w:rsid w:val="006C7023"/>
    <w:rsid w:val="006D1E54"/>
    <w:rsid w:val="006D3B8D"/>
    <w:rsid w:val="006D46F5"/>
    <w:rsid w:val="006D4A9E"/>
    <w:rsid w:val="006D6CD8"/>
    <w:rsid w:val="006D743C"/>
    <w:rsid w:val="006D7934"/>
    <w:rsid w:val="006E7D11"/>
    <w:rsid w:val="006F07AC"/>
    <w:rsid w:val="006F0825"/>
    <w:rsid w:val="006F1A71"/>
    <w:rsid w:val="006F22B6"/>
    <w:rsid w:val="006F3F43"/>
    <w:rsid w:val="006F58F7"/>
    <w:rsid w:val="006F5CB7"/>
    <w:rsid w:val="006F7EC6"/>
    <w:rsid w:val="007024DC"/>
    <w:rsid w:val="007051E3"/>
    <w:rsid w:val="00705648"/>
    <w:rsid w:val="0070573F"/>
    <w:rsid w:val="007107EB"/>
    <w:rsid w:val="00712E10"/>
    <w:rsid w:val="00713580"/>
    <w:rsid w:val="00731138"/>
    <w:rsid w:val="0073198F"/>
    <w:rsid w:val="0073458C"/>
    <w:rsid w:val="007354F1"/>
    <w:rsid w:val="00736AA9"/>
    <w:rsid w:val="00740A1C"/>
    <w:rsid w:val="00741026"/>
    <w:rsid w:val="00743656"/>
    <w:rsid w:val="007458F4"/>
    <w:rsid w:val="00746081"/>
    <w:rsid w:val="00754186"/>
    <w:rsid w:val="0075479B"/>
    <w:rsid w:val="007558D2"/>
    <w:rsid w:val="00755905"/>
    <w:rsid w:val="00755BE3"/>
    <w:rsid w:val="00756AB8"/>
    <w:rsid w:val="0076003B"/>
    <w:rsid w:val="00760784"/>
    <w:rsid w:val="007649F1"/>
    <w:rsid w:val="00774F65"/>
    <w:rsid w:val="00783B4C"/>
    <w:rsid w:val="0078440F"/>
    <w:rsid w:val="00790EA3"/>
    <w:rsid w:val="007A1550"/>
    <w:rsid w:val="007A31B1"/>
    <w:rsid w:val="007A6A22"/>
    <w:rsid w:val="007B2F22"/>
    <w:rsid w:val="007B45EA"/>
    <w:rsid w:val="007B7818"/>
    <w:rsid w:val="007C24BC"/>
    <w:rsid w:val="007C4026"/>
    <w:rsid w:val="007C4193"/>
    <w:rsid w:val="007C5875"/>
    <w:rsid w:val="007D234F"/>
    <w:rsid w:val="007D2EC6"/>
    <w:rsid w:val="007D6C6E"/>
    <w:rsid w:val="007E0460"/>
    <w:rsid w:val="007E13D9"/>
    <w:rsid w:val="007F0282"/>
    <w:rsid w:val="007F75E1"/>
    <w:rsid w:val="0080361C"/>
    <w:rsid w:val="00803958"/>
    <w:rsid w:val="00806912"/>
    <w:rsid w:val="008072F3"/>
    <w:rsid w:val="0080731E"/>
    <w:rsid w:val="00810016"/>
    <w:rsid w:val="008121FA"/>
    <w:rsid w:val="0081574E"/>
    <w:rsid w:val="00815F95"/>
    <w:rsid w:val="008160D2"/>
    <w:rsid w:val="008168AE"/>
    <w:rsid w:val="00816AC9"/>
    <w:rsid w:val="00817991"/>
    <w:rsid w:val="00824A6D"/>
    <w:rsid w:val="00824B9F"/>
    <w:rsid w:val="00826AC1"/>
    <w:rsid w:val="00830FE3"/>
    <w:rsid w:val="00831F37"/>
    <w:rsid w:val="00832577"/>
    <w:rsid w:val="00833861"/>
    <w:rsid w:val="008426BF"/>
    <w:rsid w:val="00843692"/>
    <w:rsid w:val="0085102E"/>
    <w:rsid w:val="00851722"/>
    <w:rsid w:val="00851C25"/>
    <w:rsid w:val="008521BB"/>
    <w:rsid w:val="008556E7"/>
    <w:rsid w:val="00857784"/>
    <w:rsid w:val="00860477"/>
    <w:rsid w:val="008640D3"/>
    <w:rsid w:val="00865590"/>
    <w:rsid w:val="00871530"/>
    <w:rsid w:val="00872DF7"/>
    <w:rsid w:val="00877DD5"/>
    <w:rsid w:val="00881D1E"/>
    <w:rsid w:val="0088540C"/>
    <w:rsid w:val="00885BC0"/>
    <w:rsid w:val="00890564"/>
    <w:rsid w:val="00890BD7"/>
    <w:rsid w:val="0089724E"/>
    <w:rsid w:val="008A4C5D"/>
    <w:rsid w:val="008B1204"/>
    <w:rsid w:val="008B3768"/>
    <w:rsid w:val="008B67EC"/>
    <w:rsid w:val="008B797D"/>
    <w:rsid w:val="008C1A03"/>
    <w:rsid w:val="008C2A97"/>
    <w:rsid w:val="008D41F9"/>
    <w:rsid w:val="008D6C71"/>
    <w:rsid w:val="008E5E75"/>
    <w:rsid w:val="008F3E65"/>
    <w:rsid w:val="008F46E3"/>
    <w:rsid w:val="008F55F7"/>
    <w:rsid w:val="0090071D"/>
    <w:rsid w:val="00902259"/>
    <w:rsid w:val="00903473"/>
    <w:rsid w:val="0090356C"/>
    <w:rsid w:val="00904FC3"/>
    <w:rsid w:val="00906C3F"/>
    <w:rsid w:val="009112CC"/>
    <w:rsid w:val="00916500"/>
    <w:rsid w:val="00923766"/>
    <w:rsid w:val="00926658"/>
    <w:rsid w:val="009309CA"/>
    <w:rsid w:val="00952BC7"/>
    <w:rsid w:val="00961A54"/>
    <w:rsid w:val="00963FCC"/>
    <w:rsid w:val="00971D8B"/>
    <w:rsid w:val="0097201B"/>
    <w:rsid w:val="00976338"/>
    <w:rsid w:val="009804C4"/>
    <w:rsid w:val="00981344"/>
    <w:rsid w:val="00985BD4"/>
    <w:rsid w:val="009924DF"/>
    <w:rsid w:val="009969CF"/>
    <w:rsid w:val="009A13D1"/>
    <w:rsid w:val="009A193A"/>
    <w:rsid w:val="009A1E9A"/>
    <w:rsid w:val="009A4BB2"/>
    <w:rsid w:val="009B0AB0"/>
    <w:rsid w:val="009B7088"/>
    <w:rsid w:val="009B7D05"/>
    <w:rsid w:val="009C33DD"/>
    <w:rsid w:val="009C6D1F"/>
    <w:rsid w:val="009D25D9"/>
    <w:rsid w:val="009D2D10"/>
    <w:rsid w:val="009D3D5F"/>
    <w:rsid w:val="009E293D"/>
    <w:rsid w:val="009E5C09"/>
    <w:rsid w:val="009E62DB"/>
    <w:rsid w:val="009F0BB0"/>
    <w:rsid w:val="009F1FF7"/>
    <w:rsid w:val="009F2946"/>
    <w:rsid w:val="009F2A85"/>
    <w:rsid w:val="009F52F7"/>
    <w:rsid w:val="009F722B"/>
    <w:rsid w:val="00A00193"/>
    <w:rsid w:val="00A01443"/>
    <w:rsid w:val="00A05C27"/>
    <w:rsid w:val="00A06426"/>
    <w:rsid w:val="00A0699C"/>
    <w:rsid w:val="00A159FF"/>
    <w:rsid w:val="00A15A7C"/>
    <w:rsid w:val="00A22D60"/>
    <w:rsid w:val="00A237BC"/>
    <w:rsid w:val="00A24E0F"/>
    <w:rsid w:val="00A32340"/>
    <w:rsid w:val="00A368EF"/>
    <w:rsid w:val="00A43F81"/>
    <w:rsid w:val="00A45AD6"/>
    <w:rsid w:val="00A46B70"/>
    <w:rsid w:val="00A52070"/>
    <w:rsid w:val="00A55C06"/>
    <w:rsid w:val="00A568FC"/>
    <w:rsid w:val="00A647AA"/>
    <w:rsid w:val="00A66C8C"/>
    <w:rsid w:val="00A70B18"/>
    <w:rsid w:val="00A73556"/>
    <w:rsid w:val="00A755DB"/>
    <w:rsid w:val="00A75957"/>
    <w:rsid w:val="00A81B4F"/>
    <w:rsid w:val="00A848DA"/>
    <w:rsid w:val="00A86BF3"/>
    <w:rsid w:val="00A9134D"/>
    <w:rsid w:val="00A93507"/>
    <w:rsid w:val="00A94E1B"/>
    <w:rsid w:val="00A96967"/>
    <w:rsid w:val="00AA1DCD"/>
    <w:rsid w:val="00AA1FC3"/>
    <w:rsid w:val="00AA3E6A"/>
    <w:rsid w:val="00AA482F"/>
    <w:rsid w:val="00AA495A"/>
    <w:rsid w:val="00AB0BA3"/>
    <w:rsid w:val="00AB1554"/>
    <w:rsid w:val="00AB2C3C"/>
    <w:rsid w:val="00AB5D19"/>
    <w:rsid w:val="00AD0227"/>
    <w:rsid w:val="00AD50A5"/>
    <w:rsid w:val="00AE0010"/>
    <w:rsid w:val="00AE7E97"/>
    <w:rsid w:val="00AF307F"/>
    <w:rsid w:val="00B022A8"/>
    <w:rsid w:val="00B02ED5"/>
    <w:rsid w:val="00B0394D"/>
    <w:rsid w:val="00B060C0"/>
    <w:rsid w:val="00B06F46"/>
    <w:rsid w:val="00B07587"/>
    <w:rsid w:val="00B12072"/>
    <w:rsid w:val="00B176B2"/>
    <w:rsid w:val="00B200E1"/>
    <w:rsid w:val="00B20103"/>
    <w:rsid w:val="00B22E05"/>
    <w:rsid w:val="00B30788"/>
    <w:rsid w:val="00B30B02"/>
    <w:rsid w:val="00B32241"/>
    <w:rsid w:val="00B349BF"/>
    <w:rsid w:val="00B35742"/>
    <w:rsid w:val="00B36EE8"/>
    <w:rsid w:val="00B37E16"/>
    <w:rsid w:val="00B44E9B"/>
    <w:rsid w:val="00B44FA5"/>
    <w:rsid w:val="00B45F61"/>
    <w:rsid w:val="00B461E2"/>
    <w:rsid w:val="00B46369"/>
    <w:rsid w:val="00B46589"/>
    <w:rsid w:val="00B47E92"/>
    <w:rsid w:val="00B65043"/>
    <w:rsid w:val="00B66855"/>
    <w:rsid w:val="00B70F70"/>
    <w:rsid w:val="00B73502"/>
    <w:rsid w:val="00B75C49"/>
    <w:rsid w:val="00B7759B"/>
    <w:rsid w:val="00B8116D"/>
    <w:rsid w:val="00BA0B54"/>
    <w:rsid w:val="00BA10F7"/>
    <w:rsid w:val="00BA2559"/>
    <w:rsid w:val="00BA2E59"/>
    <w:rsid w:val="00BB0844"/>
    <w:rsid w:val="00BB1FFD"/>
    <w:rsid w:val="00BB23E5"/>
    <w:rsid w:val="00BB3D22"/>
    <w:rsid w:val="00BB75BB"/>
    <w:rsid w:val="00BC5001"/>
    <w:rsid w:val="00BC557F"/>
    <w:rsid w:val="00BD42D9"/>
    <w:rsid w:val="00BD42E4"/>
    <w:rsid w:val="00BD5728"/>
    <w:rsid w:val="00BE3202"/>
    <w:rsid w:val="00BE5049"/>
    <w:rsid w:val="00BF47AE"/>
    <w:rsid w:val="00BF6874"/>
    <w:rsid w:val="00C02DD0"/>
    <w:rsid w:val="00C041B2"/>
    <w:rsid w:val="00C043D0"/>
    <w:rsid w:val="00C07BD1"/>
    <w:rsid w:val="00C2190F"/>
    <w:rsid w:val="00C313D7"/>
    <w:rsid w:val="00C43FA1"/>
    <w:rsid w:val="00C44659"/>
    <w:rsid w:val="00C44684"/>
    <w:rsid w:val="00C477C1"/>
    <w:rsid w:val="00C55522"/>
    <w:rsid w:val="00C6508A"/>
    <w:rsid w:val="00C66B87"/>
    <w:rsid w:val="00C67B2F"/>
    <w:rsid w:val="00C71E91"/>
    <w:rsid w:val="00C72D18"/>
    <w:rsid w:val="00C82DF6"/>
    <w:rsid w:val="00CA0009"/>
    <w:rsid w:val="00CA35DA"/>
    <w:rsid w:val="00CA3721"/>
    <w:rsid w:val="00CA6DA9"/>
    <w:rsid w:val="00CA7BC1"/>
    <w:rsid w:val="00CB3F6E"/>
    <w:rsid w:val="00CB46D3"/>
    <w:rsid w:val="00CB7CB7"/>
    <w:rsid w:val="00CC2932"/>
    <w:rsid w:val="00CC3B88"/>
    <w:rsid w:val="00CC4595"/>
    <w:rsid w:val="00CC6D97"/>
    <w:rsid w:val="00CD00F9"/>
    <w:rsid w:val="00CD0251"/>
    <w:rsid w:val="00CD316B"/>
    <w:rsid w:val="00CD478E"/>
    <w:rsid w:val="00CE5E74"/>
    <w:rsid w:val="00CF5702"/>
    <w:rsid w:val="00D024B4"/>
    <w:rsid w:val="00D06CFA"/>
    <w:rsid w:val="00D07758"/>
    <w:rsid w:val="00D102A5"/>
    <w:rsid w:val="00D12666"/>
    <w:rsid w:val="00D16143"/>
    <w:rsid w:val="00D2091C"/>
    <w:rsid w:val="00D23CD9"/>
    <w:rsid w:val="00D26730"/>
    <w:rsid w:val="00D32225"/>
    <w:rsid w:val="00D33587"/>
    <w:rsid w:val="00D42967"/>
    <w:rsid w:val="00D42A54"/>
    <w:rsid w:val="00D4381E"/>
    <w:rsid w:val="00D54AD3"/>
    <w:rsid w:val="00D55F41"/>
    <w:rsid w:val="00D562BC"/>
    <w:rsid w:val="00D654F0"/>
    <w:rsid w:val="00D65BE3"/>
    <w:rsid w:val="00D66C4C"/>
    <w:rsid w:val="00D75A1A"/>
    <w:rsid w:val="00D764B2"/>
    <w:rsid w:val="00D83A9F"/>
    <w:rsid w:val="00D84352"/>
    <w:rsid w:val="00D8662B"/>
    <w:rsid w:val="00D914BE"/>
    <w:rsid w:val="00D92696"/>
    <w:rsid w:val="00D94B98"/>
    <w:rsid w:val="00D95015"/>
    <w:rsid w:val="00D96171"/>
    <w:rsid w:val="00D96E97"/>
    <w:rsid w:val="00DA0473"/>
    <w:rsid w:val="00DA0687"/>
    <w:rsid w:val="00DA36F5"/>
    <w:rsid w:val="00DA45FE"/>
    <w:rsid w:val="00DA540D"/>
    <w:rsid w:val="00DA604E"/>
    <w:rsid w:val="00DB101B"/>
    <w:rsid w:val="00DB1711"/>
    <w:rsid w:val="00DB1748"/>
    <w:rsid w:val="00DC3DB0"/>
    <w:rsid w:val="00DD3974"/>
    <w:rsid w:val="00DD5C28"/>
    <w:rsid w:val="00DD6B03"/>
    <w:rsid w:val="00DF07D3"/>
    <w:rsid w:val="00DF190C"/>
    <w:rsid w:val="00DF4F27"/>
    <w:rsid w:val="00DF72B3"/>
    <w:rsid w:val="00E02D3E"/>
    <w:rsid w:val="00E04A0E"/>
    <w:rsid w:val="00E06E5C"/>
    <w:rsid w:val="00E10FE1"/>
    <w:rsid w:val="00E17EA5"/>
    <w:rsid w:val="00E30AB2"/>
    <w:rsid w:val="00E30D46"/>
    <w:rsid w:val="00E37531"/>
    <w:rsid w:val="00E43A46"/>
    <w:rsid w:val="00E45EBC"/>
    <w:rsid w:val="00E5073B"/>
    <w:rsid w:val="00E5192A"/>
    <w:rsid w:val="00E532FD"/>
    <w:rsid w:val="00E60338"/>
    <w:rsid w:val="00E63BEC"/>
    <w:rsid w:val="00E64C79"/>
    <w:rsid w:val="00E65B2E"/>
    <w:rsid w:val="00E7033A"/>
    <w:rsid w:val="00E71759"/>
    <w:rsid w:val="00E71786"/>
    <w:rsid w:val="00E7195F"/>
    <w:rsid w:val="00E74AA5"/>
    <w:rsid w:val="00E76860"/>
    <w:rsid w:val="00E83668"/>
    <w:rsid w:val="00E837B7"/>
    <w:rsid w:val="00E879B7"/>
    <w:rsid w:val="00E93612"/>
    <w:rsid w:val="00EA146B"/>
    <w:rsid w:val="00EA2651"/>
    <w:rsid w:val="00EA4ED6"/>
    <w:rsid w:val="00EA6064"/>
    <w:rsid w:val="00EB0C02"/>
    <w:rsid w:val="00EB20D6"/>
    <w:rsid w:val="00EB2952"/>
    <w:rsid w:val="00EB40C7"/>
    <w:rsid w:val="00EB4267"/>
    <w:rsid w:val="00EB71FA"/>
    <w:rsid w:val="00EC289B"/>
    <w:rsid w:val="00EC4604"/>
    <w:rsid w:val="00EC4C64"/>
    <w:rsid w:val="00EC4E4B"/>
    <w:rsid w:val="00EC4ED3"/>
    <w:rsid w:val="00EC7B9F"/>
    <w:rsid w:val="00ED0CC4"/>
    <w:rsid w:val="00ED3592"/>
    <w:rsid w:val="00ED7F8D"/>
    <w:rsid w:val="00EE3AE6"/>
    <w:rsid w:val="00EE55FC"/>
    <w:rsid w:val="00EE5D59"/>
    <w:rsid w:val="00EF5F4F"/>
    <w:rsid w:val="00EF6BA3"/>
    <w:rsid w:val="00F012E5"/>
    <w:rsid w:val="00F02FA6"/>
    <w:rsid w:val="00F07371"/>
    <w:rsid w:val="00F122A8"/>
    <w:rsid w:val="00F2210C"/>
    <w:rsid w:val="00F22483"/>
    <w:rsid w:val="00F26F43"/>
    <w:rsid w:val="00F26F63"/>
    <w:rsid w:val="00F272B0"/>
    <w:rsid w:val="00F27C82"/>
    <w:rsid w:val="00F31092"/>
    <w:rsid w:val="00F34A34"/>
    <w:rsid w:val="00F35545"/>
    <w:rsid w:val="00F3561C"/>
    <w:rsid w:val="00F37EA1"/>
    <w:rsid w:val="00F41375"/>
    <w:rsid w:val="00F42E2D"/>
    <w:rsid w:val="00F52004"/>
    <w:rsid w:val="00F52155"/>
    <w:rsid w:val="00F5483C"/>
    <w:rsid w:val="00F572E0"/>
    <w:rsid w:val="00F573F8"/>
    <w:rsid w:val="00F57A5D"/>
    <w:rsid w:val="00F57F3B"/>
    <w:rsid w:val="00F625BB"/>
    <w:rsid w:val="00F71F51"/>
    <w:rsid w:val="00F734CD"/>
    <w:rsid w:val="00F73CA1"/>
    <w:rsid w:val="00F74C70"/>
    <w:rsid w:val="00F7715A"/>
    <w:rsid w:val="00F7760C"/>
    <w:rsid w:val="00F82478"/>
    <w:rsid w:val="00F826D6"/>
    <w:rsid w:val="00F85E1C"/>
    <w:rsid w:val="00F90C86"/>
    <w:rsid w:val="00F953A1"/>
    <w:rsid w:val="00F96B64"/>
    <w:rsid w:val="00FA2922"/>
    <w:rsid w:val="00FA3DF1"/>
    <w:rsid w:val="00FA449F"/>
    <w:rsid w:val="00FA4F81"/>
    <w:rsid w:val="00FB1547"/>
    <w:rsid w:val="00FB22BD"/>
    <w:rsid w:val="00FB2521"/>
    <w:rsid w:val="00FC6983"/>
    <w:rsid w:val="00FC6D59"/>
    <w:rsid w:val="00FD056B"/>
    <w:rsid w:val="00FE0540"/>
    <w:rsid w:val="00FE2ADF"/>
    <w:rsid w:val="00FE3CBF"/>
    <w:rsid w:val="00FE59FE"/>
    <w:rsid w:val="00FE622A"/>
    <w:rsid w:val="00FE69F4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65D2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720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200F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FR1">
    <w:name w:val="FR1"/>
    <w:rsid w:val="0067200F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BodyText2">
    <w:name w:val="Body Text 2"/>
    <w:basedOn w:val="Normal"/>
    <w:link w:val="BodyText2Char"/>
    <w:rsid w:val="0067200F"/>
    <w:pPr>
      <w:autoSpaceDE w:val="0"/>
      <w:autoSpaceDN w:val="0"/>
      <w:adjustRightInd w:val="0"/>
      <w:spacing w:before="35"/>
      <w:ind w:right="278"/>
    </w:pPr>
    <w:rPr>
      <w:sz w:val="24"/>
      <w:szCs w:val="18"/>
    </w:rPr>
  </w:style>
  <w:style w:type="character" w:customStyle="1" w:styleId="BodyText2Char">
    <w:name w:val="Body Text 2 Char"/>
    <w:basedOn w:val="DefaultParagraphFont"/>
    <w:link w:val="BodyText2"/>
    <w:rsid w:val="0067200F"/>
    <w:rPr>
      <w:rFonts w:ascii="Times New Roman" w:eastAsia="Times New Roman" w:hAnsi="Times New Roman" w:cs="Times New Roman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67200F"/>
  </w:style>
  <w:style w:type="character" w:customStyle="1" w:styleId="FootnoteTextChar">
    <w:name w:val="Footnote Text Char"/>
    <w:basedOn w:val="DefaultParagraphFont"/>
    <w:link w:val="FootnoteText"/>
    <w:semiHidden/>
    <w:rsid w:val="00672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6720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44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62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D562BC"/>
  </w:style>
  <w:style w:type="paragraph" w:styleId="BalloonText">
    <w:name w:val="Balloon Text"/>
    <w:basedOn w:val="Normal"/>
    <w:link w:val="BalloonTextChar"/>
    <w:uiPriority w:val="99"/>
    <w:semiHidden/>
    <w:unhideWhenUsed/>
    <w:rsid w:val="00A15A7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7C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2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D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2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102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D102A5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02A5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102A5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102A5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02A5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02A5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02A5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02A5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02A5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02A5"/>
    <w:pPr>
      <w:ind w:left="1600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720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200F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FR1">
    <w:name w:val="FR1"/>
    <w:rsid w:val="0067200F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BodyText2">
    <w:name w:val="Body Text 2"/>
    <w:basedOn w:val="Normal"/>
    <w:link w:val="BodyText2Char"/>
    <w:rsid w:val="0067200F"/>
    <w:pPr>
      <w:autoSpaceDE w:val="0"/>
      <w:autoSpaceDN w:val="0"/>
      <w:adjustRightInd w:val="0"/>
      <w:spacing w:before="35"/>
      <w:ind w:right="278"/>
    </w:pPr>
    <w:rPr>
      <w:sz w:val="24"/>
      <w:szCs w:val="18"/>
    </w:rPr>
  </w:style>
  <w:style w:type="character" w:customStyle="1" w:styleId="BodyText2Char">
    <w:name w:val="Body Text 2 Char"/>
    <w:basedOn w:val="DefaultParagraphFont"/>
    <w:link w:val="BodyText2"/>
    <w:rsid w:val="0067200F"/>
    <w:rPr>
      <w:rFonts w:ascii="Times New Roman" w:eastAsia="Times New Roman" w:hAnsi="Times New Roman" w:cs="Times New Roman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67200F"/>
  </w:style>
  <w:style w:type="character" w:customStyle="1" w:styleId="FootnoteTextChar">
    <w:name w:val="Footnote Text Char"/>
    <w:basedOn w:val="DefaultParagraphFont"/>
    <w:link w:val="FootnoteText"/>
    <w:semiHidden/>
    <w:rsid w:val="00672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6720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44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62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D562BC"/>
  </w:style>
  <w:style w:type="paragraph" w:styleId="BalloonText">
    <w:name w:val="Balloon Text"/>
    <w:basedOn w:val="Normal"/>
    <w:link w:val="BalloonTextChar"/>
    <w:uiPriority w:val="99"/>
    <w:semiHidden/>
    <w:unhideWhenUsed/>
    <w:rsid w:val="00A15A7C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7C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2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D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2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102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D102A5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02A5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102A5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102A5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02A5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02A5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02A5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02A5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02A5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02A5"/>
    <w:pPr>
      <w:ind w:left="160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ru.wikipedia.org/wiki/Honeywell" TargetMode="External"/><Relationship Id="rId10" Type="http://schemas.openxmlformats.org/officeDocument/2006/relationships/hyperlink" Target="http://ru.wikipedia.org/wiki/%D0%95%D0%B2%D1%80%D0%BE%D0%BF%D0%B5%D0%B9%D1%81%D0%BA%D0%B8%D0%B9_%D0%BA%D0%BE%D0%BC%D0%B8%D1%81%D1%81%D0%B0%D1%80_%D0%BF%D0%BE_%D0%B2%D0%BE%D0%BF%D1%80%D0%BE%D1%81%D0%B0%D0%BC_%D0%BA%D0%BE%D0%BD%D0%BA%D1%83%D1%80%D0%B5%D0%BD%D1%86%D0%B8%D0%B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xUriServ/LexUriServ.do?uri=CELEX:32004R0139:EN:N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:Users:mac:Desktop:Exit:&#1044;&#1080;&#1087;&#1083;&#1086;&#1084;: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v>Одобренные на первом этапе</c:v>
          </c:tx>
          <c:invertIfNegative val="0"/>
          <c:cat>
            <c:strRef>
              <c:f>Sheet1!$B$6:$V$6</c:f>
              <c:strCache>
                <c:ptCount val="21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96</c:v>
                </c:pt>
                <c:pt idx="6">
                  <c:v>97</c:v>
                </c:pt>
                <c:pt idx="7">
                  <c:v>98</c:v>
                </c:pt>
                <c:pt idx="8">
                  <c:v>99</c:v>
                </c:pt>
                <c:pt idx="9">
                  <c:v>00</c:v>
                </c:pt>
                <c:pt idx="10">
                  <c:v>01</c:v>
                </c:pt>
                <c:pt idx="11">
                  <c:v>02</c:v>
                </c:pt>
                <c:pt idx="12">
                  <c:v>03</c:v>
                </c:pt>
                <c:pt idx="13">
                  <c:v>04</c:v>
                </c:pt>
                <c:pt idx="14">
                  <c:v>05</c:v>
                </c:pt>
                <c:pt idx="15">
                  <c:v>06</c:v>
                </c:pt>
                <c:pt idx="16">
                  <c:v>07</c:v>
                </c:pt>
                <c:pt idx="17">
                  <c:v>08</c:v>
                </c:pt>
                <c:pt idx="18">
                  <c:v>09</c:v>
                </c:pt>
                <c:pt idx="19">
                  <c:v>10</c:v>
                </c:pt>
                <c:pt idx="20">
                  <c:v>11</c:v>
                </c:pt>
              </c:strCache>
            </c:strRef>
          </c:cat>
          <c:val>
            <c:numRef>
              <c:f>Sheet1!$B$7:$V$7</c:f>
              <c:numCache>
                <c:formatCode>General</c:formatCode>
                <c:ptCount val="21"/>
                <c:pt idx="0">
                  <c:v>47.0</c:v>
                </c:pt>
                <c:pt idx="1">
                  <c:v>43.0</c:v>
                </c:pt>
                <c:pt idx="2">
                  <c:v>49.0</c:v>
                </c:pt>
                <c:pt idx="3">
                  <c:v>78.0</c:v>
                </c:pt>
                <c:pt idx="4">
                  <c:v>90.0</c:v>
                </c:pt>
                <c:pt idx="5">
                  <c:v>109.0</c:v>
                </c:pt>
                <c:pt idx="6">
                  <c:v>118.0</c:v>
                </c:pt>
                <c:pt idx="7">
                  <c:v>196.0</c:v>
                </c:pt>
                <c:pt idx="8">
                  <c:v>225.0</c:v>
                </c:pt>
                <c:pt idx="9">
                  <c:v>278.0</c:v>
                </c:pt>
                <c:pt idx="10">
                  <c:v>299.0</c:v>
                </c:pt>
                <c:pt idx="11">
                  <c:v>238.0</c:v>
                </c:pt>
                <c:pt idx="12">
                  <c:v>203.0</c:v>
                </c:pt>
                <c:pt idx="13">
                  <c:v>220.0</c:v>
                </c:pt>
                <c:pt idx="14">
                  <c:v>276.0</c:v>
                </c:pt>
                <c:pt idx="15">
                  <c:v>323.0</c:v>
                </c:pt>
                <c:pt idx="16">
                  <c:v>368.0</c:v>
                </c:pt>
                <c:pt idx="17">
                  <c:v>307.0</c:v>
                </c:pt>
                <c:pt idx="18">
                  <c:v>225.0</c:v>
                </c:pt>
                <c:pt idx="19">
                  <c:v>253.0</c:v>
                </c:pt>
                <c:pt idx="20">
                  <c:v>299.0</c:v>
                </c:pt>
              </c:numCache>
            </c:numRef>
          </c:val>
        </c:ser>
        <c:ser>
          <c:idx val="1"/>
          <c:order val="1"/>
          <c:tx>
            <c:v>Одобренные условно на первом этапе</c:v>
          </c:tx>
          <c:invertIfNegative val="0"/>
          <c:cat>
            <c:strRef>
              <c:f>Sheet1!$B$6:$V$6</c:f>
              <c:strCache>
                <c:ptCount val="21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96</c:v>
                </c:pt>
                <c:pt idx="6">
                  <c:v>97</c:v>
                </c:pt>
                <c:pt idx="7">
                  <c:v>98</c:v>
                </c:pt>
                <c:pt idx="8">
                  <c:v>99</c:v>
                </c:pt>
                <c:pt idx="9">
                  <c:v>00</c:v>
                </c:pt>
                <c:pt idx="10">
                  <c:v>01</c:v>
                </c:pt>
                <c:pt idx="11">
                  <c:v>02</c:v>
                </c:pt>
                <c:pt idx="12">
                  <c:v>03</c:v>
                </c:pt>
                <c:pt idx="13">
                  <c:v>04</c:v>
                </c:pt>
                <c:pt idx="14">
                  <c:v>05</c:v>
                </c:pt>
                <c:pt idx="15">
                  <c:v>06</c:v>
                </c:pt>
                <c:pt idx="16">
                  <c:v>07</c:v>
                </c:pt>
                <c:pt idx="17">
                  <c:v>08</c:v>
                </c:pt>
                <c:pt idx="18">
                  <c:v>09</c:v>
                </c:pt>
                <c:pt idx="19">
                  <c:v>10</c:v>
                </c:pt>
                <c:pt idx="20">
                  <c:v>11</c:v>
                </c:pt>
              </c:strCache>
            </c:strRef>
          </c:cat>
          <c:val>
            <c:numRef>
              <c:f>Sheet1!$B$8:$V$8</c:f>
              <c:numCache>
                <c:formatCode>General</c:formatCode>
                <c:ptCount val="21"/>
                <c:pt idx="0">
                  <c:v>3.0</c:v>
                </c:pt>
                <c:pt idx="1">
                  <c:v>4.0</c:v>
                </c:pt>
                <c:pt idx="2">
                  <c:v>0.0</c:v>
                </c:pt>
                <c:pt idx="3">
                  <c:v>2.0</c:v>
                </c:pt>
                <c:pt idx="4">
                  <c:v>3.0</c:v>
                </c:pt>
                <c:pt idx="5">
                  <c:v>0.0</c:v>
                </c:pt>
                <c:pt idx="6">
                  <c:v>2.0</c:v>
                </c:pt>
                <c:pt idx="7">
                  <c:v>12.0</c:v>
                </c:pt>
                <c:pt idx="8">
                  <c:v>16.0</c:v>
                </c:pt>
                <c:pt idx="9">
                  <c:v>26.0</c:v>
                </c:pt>
                <c:pt idx="10">
                  <c:v>11.0</c:v>
                </c:pt>
                <c:pt idx="11">
                  <c:v>10.0</c:v>
                </c:pt>
                <c:pt idx="12">
                  <c:v>11.0</c:v>
                </c:pt>
                <c:pt idx="13">
                  <c:v>12.0</c:v>
                </c:pt>
                <c:pt idx="14">
                  <c:v>15.0</c:v>
                </c:pt>
                <c:pt idx="15">
                  <c:v>13.0</c:v>
                </c:pt>
                <c:pt idx="16">
                  <c:v>18.0</c:v>
                </c:pt>
                <c:pt idx="17">
                  <c:v>19.0</c:v>
                </c:pt>
                <c:pt idx="18">
                  <c:v>13.0</c:v>
                </c:pt>
                <c:pt idx="19">
                  <c:v>14.0</c:v>
                </c:pt>
                <c:pt idx="20">
                  <c:v>5.0</c:v>
                </c:pt>
              </c:numCache>
            </c:numRef>
          </c:val>
        </c:ser>
        <c:ser>
          <c:idx val="2"/>
          <c:order val="2"/>
          <c:tx>
            <c:v>Одобренные на втором этапе</c:v>
          </c:tx>
          <c:invertIfNegative val="0"/>
          <c:cat>
            <c:strRef>
              <c:f>Sheet1!$B$6:$V$6</c:f>
              <c:strCache>
                <c:ptCount val="21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96</c:v>
                </c:pt>
                <c:pt idx="6">
                  <c:v>97</c:v>
                </c:pt>
                <c:pt idx="7">
                  <c:v>98</c:v>
                </c:pt>
                <c:pt idx="8">
                  <c:v>99</c:v>
                </c:pt>
                <c:pt idx="9">
                  <c:v>00</c:v>
                </c:pt>
                <c:pt idx="10">
                  <c:v>01</c:v>
                </c:pt>
                <c:pt idx="11">
                  <c:v>02</c:v>
                </c:pt>
                <c:pt idx="12">
                  <c:v>03</c:v>
                </c:pt>
                <c:pt idx="13">
                  <c:v>04</c:v>
                </c:pt>
                <c:pt idx="14">
                  <c:v>05</c:v>
                </c:pt>
                <c:pt idx="15">
                  <c:v>06</c:v>
                </c:pt>
                <c:pt idx="16">
                  <c:v>07</c:v>
                </c:pt>
                <c:pt idx="17">
                  <c:v>08</c:v>
                </c:pt>
                <c:pt idx="18">
                  <c:v>09</c:v>
                </c:pt>
                <c:pt idx="19">
                  <c:v>10</c:v>
                </c:pt>
                <c:pt idx="20">
                  <c:v>11</c:v>
                </c:pt>
              </c:strCache>
            </c:strRef>
          </c:cat>
          <c:val>
            <c:numRef>
              <c:f>Sheet1!$B$9:$V$9</c:f>
              <c:numCache>
                <c:formatCode>General</c:formatCode>
                <c:ptCount val="21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2.0</c:v>
                </c:pt>
                <c:pt idx="4">
                  <c:v>2.0</c:v>
                </c:pt>
                <c:pt idx="5">
                  <c:v>1.0</c:v>
                </c:pt>
                <c:pt idx="6">
                  <c:v>1.0</c:v>
                </c:pt>
                <c:pt idx="7">
                  <c:v>3.0</c:v>
                </c:pt>
                <c:pt idx="8">
                  <c:v>0.0</c:v>
                </c:pt>
                <c:pt idx="9">
                  <c:v>3.0</c:v>
                </c:pt>
                <c:pt idx="10">
                  <c:v>5.0</c:v>
                </c:pt>
                <c:pt idx="11">
                  <c:v>2.0</c:v>
                </c:pt>
                <c:pt idx="12">
                  <c:v>2.0</c:v>
                </c:pt>
                <c:pt idx="13">
                  <c:v>2.0</c:v>
                </c:pt>
                <c:pt idx="14">
                  <c:v>2.0</c:v>
                </c:pt>
                <c:pt idx="15">
                  <c:v>4.0</c:v>
                </c:pt>
                <c:pt idx="16">
                  <c:v>5.0</c:v>
                </c:pt>
                <c:pt idx="17">
                  <c:v>9.0</c:v>
                </c:pt>
                <c:pt idx="18">
                  <c:v>0.0</c:v>
                </c:pt>
                <c:pt idx="19">
                  <c:v>1.0</c:v>
                </c:pt>
                <c:pt idx="20">
                  <c:v>4.0</c:v>
                </c:pt>
              </c:numCache>
            </c:numRef>
          </c:val>
        </c:ser>
        <c:ser>
          <c:idx val="3"/>
          <c:order val="3"/>
          <c:tx>
            <c:v>Одобренные условно на втором этапе</c:v>
          </c:tx>
          <c:invertIfNegative val="0"/>
          <c:cat>
            <c:strRef>
              <c:f>Sheet1!$B$6:$V$6</c:f>
              <c:strCache>
                <c:ptCount val="21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96</c:v>
                </c:pt>
                <c:pt idx="6">
                  <c:v>97</c:v>
                </c:pt>
                <c:pt idx="7">
                  <c:v>98</c:v>
                </c:pt>
                <c:pt idx="8">
                  <c:v>99</c:v>
                </c:pt>
                <c:pt idx="9">
                  <c:v>00</c:v>
                </c:pt>
                <c:pt idx="10">
                  <c:v>01</c:v>
                </c:pt>
                <c:pt idx="11">
                  <c:v>02</c:v>
                </c:pt>
                <c:pt idx="12">
                  <c:v>03</c:v>
                </c:pt>
                <c:pt idx="13">
                  <c:v>04</c:v>
                </c:pt>
                <c:pt idx="14">
                  <c:v>05</c:v>
                </c:pt>
                <c:pt idx="15">
                  <c:v>06</c:v>
                </c:pt>
                <c:pt idx="16">
                  <c:v>07</c:v>
                </c:pt>
                <c:pt idx="17">
                  <c:v>08</c:v>
                </c:pt>
                <c:pt idx="18">
                  <c:v>09</c:v>
                </c:pt>
                <c:pt idx="19">
                  <c:v>10</c:v>
                </c:pt>
                <c:pt idx="20">
                  <c:v>11</c:v>
                </c:pt>
              </c:strCache>
            </c:strRef>
          </c:cat>
          <c:val>
            <c:numRef>
              <c:f>Sheet1!$B$10:$V$10</c:f>
              <c:numCache>
                <c:formatCode>General</c:formatCode>
                <c:ptCount val="21"/>
                <c:pt idx="0">
                  <c:v>3.0</c:v>
                </c:pt>
                <c:pt idx="1">
                  <c:v>3.0</c:v>
                </c:pt>
                <c:pt idx="2">
                  <c:v>2.0</c:v>
                </c:pt>
                <c:pt idx="3">
                  <c:v>2.0</c:v>
                </c:pt>
                <c:pt idx="4">
                  <c:v>3.0</c:v>
                </c:pt>
                <c:pt idx="5">
                  <c:v>3.0</c:v>
                </c:pt>
                <c:pt idx="6">
                  <c:v>7.0</c:v>
                </c:pt>
                <c:pt idx="7">
                  <c:v>4.0</c:v>
                </c:pt>
                <c:pt idx="8">
                  <c:v>7.0</c:v>
                </c:pt>
                <c:pt idx="9">
                  <c:v>12.0</c:v>
                </c:pt>
                <c:pt idx="10">
                  <c:v>9.0</c:v>
                </c:pt>
                <c:pt idx="11">
                  <c:v>5.0</c:v>
                </c:pt>
                <c:pt idx="12">
                  <c:v>6.0</c:v>
                </c:pt>
                <c:pt idx="13">
                  <c:v>4.0</c:v>
                </c:pt>
                <c:pt idx="14">
                  <c:v>3.0</c:v>
                </c:pt>
                <c:pt idx="15">
                  <c:v>6.0</c:v>
                </c:pt>
                <c:pt idx="16">
                  <c:v>4.0</c:v>
                </c:pt>
                <c:pt idx="17">
                  <c:v>5.0</c:v>
                </c:pt>
                <c:pt idx="18">
                  <c:v>3.0</c:v>
                </c:pt>
                <c:pt idx="19">
                  <c:v>2.0</c:v>
                </c:pt>
                <c:pt idx="20">
                  <c:v>1.0</c:v>
                </c:pt>
              </c:numCache>
            </c:numRef>
          </c:val>
        </c:ser>
        <c:ser>
          <c:idx val="4"/>
          <c:order val="4"/>
          <c:tx>
            <c:v>Запрещенные</c:v>
          </c:tx>
          <c:invertIfNegative val="0"/>
          <c:cat>
            <c:strRef>
              <c:f>Sheet1!$B$6:$V$6</c:f>
              <c:strCache>
                <c:ptCount val="21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96</c:v>
                </c:pt>
                <c:pt idx="6">
                  <c:v>97</c:v>
                </c:pt>
                <c:pt idx="7">
                  <c:v>98</c:v>
                </c:pt>
                <c:pt idx="8">
                  <c:v>99</c:v>
                </c:pt>
                <c:pt idx="9">
                  <c:v>00</c:v>
                </c:pt>
                <c:pt idx="10">
                  <c:v>01</c:v>
                </c:pt>
                <c:pt idx="11">
                  <c:v>02</c:v>
                </c:pt>
                <c:pt idx="12">
                  <c:v>03</c:v>
                </c:pt>
                <c:pt idx="13">
                  <c:v>04</c:v>
                </c:pt>
                <c:pt idx="14">
                  <c:v>05</c:v>
                </c:pt>
                <c:pt idx="15">
                  <c:v>06</c:v>
                </c:pt>
                <c:pt idx="16">
                  <c:v>07</c:v>
                </c:pt>
                <c:pt idx="17">
                  <c:v>08</c:v>
                </c:pt>
                <c:pt idx="18">
                  <c:v>09</c:v>
                </c:pt>
                <c:pt idx="19">
                  <c:v>10</c:v>
                </c:pt>
                <c:pt idx="20">
                  <c:v>11</c:v>
                </c:pt>
              </c:strCache>
            </c:strRef>
          </c:cat>
          <c:val>
            <c:numRef>
              <c:f>Sheet1!$B$11:$V$11</c:f>
              <c:numCache>
                <c:formatCode>General</c:formatCode>
                <c:ptCount val="21"/>
                <c:pt idx="0">
                  <c:v>1.0</c:v>
                </c:pt>
                <c:pt idx="1">
                  <c:v>0.0</c:v>
                </c:pt>
                <c:pt idx="2">
                  <c:v>0.0</c:v>
                </c:pt>
                <c:pt idx="3">
                  <c:v>1.0</c:v>
                </c:pt>
                <c:pt idx="4">
                  <c:v>2.0</c:v>
                </c:pt>
                <c:pt idx="5">
                  <c:v>3.0</c:v>
                </c:pt>
                <c:pt idx="6">
                  <c:v>1.0</c:v>
                </c:pt>
                <c:pt idx="7">
                  <c:v>2.0</c:v>
                </c:pt>
                <c:pt idx="8">
                  <c:v>1.0</c:v>
                </c:pt>
                <c:pt idx="9">
                  <c:v>2.0</c:v>
                </c:pt>
                <c:pt idx="10">
                  <c:v>5.0</c:v>
                </c:pt>
                <c:pt idx="11">
                  <c:v>0.0</c:v>
                </c:pt>
                <c:pt idx="12">
                  <c:v>0.0</c:v>
                </c:pt>
                <c:pt idx="13">
                  <c:v>1.0</c:v>
                </c:pt>
                <c:pt idx="14">
                  <c:v>0.0</c:v>
                </c:pt>
                <c:pt idx="15">
                  <c:v>0.0</c:v>
                </c:pt>
                <c:pt idx="16">
                  <c:v>1.0</c:v>
                </c:pt>
                <c:pt idx="17">
                  <c:v>0.0</c:v>
                </c:pt>
                <c:pt idx="18">
                  <c:v>0.0</c:v>
                </c:pt>
                <c:pt idx="19">
                  <c:v>0.0</c:v>
                </c:pt>
                <c:pt idx="20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2278904"/>
        <c:axId val="2102282008"/>
      </c:barChart>
      <c:dateAx>
        <c:axId val="2102278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2282008"/>
        <c:crosses val="autoZero"/>
        <c:auto val="0"/>
        <c:lblOffset val="100"/>
        <c:baseTimeUnit val="days"/>
      </c:dateAx>
      <c:valAx>
        <c:axId val="2102282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02278904"/>
        <c:crossesAt val="1.0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60861-3835-4047-AB82-5A038DC1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36</Pages>
  <Words>6768</Words>
  <Characters>47045</Characters>
  <Application>Microsoft Macintosh Word</Application>
  <DocSecurity>0</DocSecurity>
  <Lines>1022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Daria Elson</cp:lastModifiedBy>
  <cp:revision>85</cp:revision>
  <cp:lastPrinted>2013-05-17T07:36:00Z</cp:lastPrinted>
  <dcterms:created xsi:type="dcterms:W3CDTF">2013-05-06T12:05:00Z</dcterms:created>
  <dcterms:modified xsi:type="dcterms:W3CDTF">2013-05-20T19:47:00Z</dcterms:modified>
</cp:coreProperties>
</file>