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12" w:rsidRPr="000464B8" w:rsidRDefault="00461AD0" w:rsidP="00431BFB">
      <w:pPr>
        <w:rPr>
          <w:rFonts w:ascii="Times New Roman" w:hAnsi="Times New Roman" w:cs="Times New Roman"/>
          <w:b/>
          <w:sz w:val="24"/>
          <w:szCs w:val="24"/>
        </w:rPr>
      </w:pPr>
      <w:proofErr w:type="gramStart"/>
      <w:r w:rsidRPr="00431BFB">
        <w:rPr>
          <w:rFonts w:ascii="Times New Roman" w:hAnsi="Times New Roman" w:cs="Times New Roman"/>
          <w:b/>
          <w:sz w:val="24"/>
          <w:szCs w:val="24"/>
          <w:lang w:val="en-US"/>
        </w:rPr>
        <w:t>F</w:t>
      </w:r>
      <w:r w:rsidR="007B569F" w:rsidRPr="00B67F4B">
        <w:rPr>
          <w:rFonts w:ascii="Times New Roman" w:hAnsi="Times New Roman" w:cs="Times New Roman"/>
          <w:b/>
          <w:sz w:val="24"/>
          <w:szCs w:val="24"/>
        </w:rPr>
        <w:t>.</w:t>
      </w:r>
      <w:r w:rsidRPr="00431BFB">
        <w:rPr>
          <w:rFonts w:ascii="Times New Roman" w:hAnsi="Times New Roman" w:cs="Times New Roman"/>
          <w:b/>
          <w:sz w:val="24"/>
          <w:szCs w:val="24"/>
          <w:lang w:val="en-US"/>
        </w:rPr>
        <w:t>A</w:t>
      </w:r>
      <w:r w:rsidR="007B569F" w:rsidRPr="00B67F4B">
        <w:rPr>
          <w:rFonts w:ascii="Times New Roman" w:hAnsi="Times New Roman" w:cs="Times New Roman"/>
          <w:b/>
          <w:sz w:val="24"/>
          <w:szCs w:val="24"/>
        </w:rPr>
        <w:t>.</w:t>
      </w:r>
      <w:r w:rsidRPr="00431BFB">
        <w:rPr>
          <w:rFonts w:ascii="Times New Roman" w:hAnsi="Times New Roman" w:cs="Times New Roman"/>
          <w:b/>
          <w:sz w:val="24"/>
          <w:szCs w:val="24"/>
          <w:lang w:val="en-US"/>
        </w:rPr>
        <w:t>Q</w:t>
      </w:r>
      <w:r w:rsidR="007B569F" w:rsidRPr="00B67F4B">
        <w:rPr>
          <w:rFonts w:ascii="Times New Roman" w:hAnsi="Times New Roman" w:cs="Times New Roman"/>
          <w:b/>
          <w:sz w:val="24"/>
          <w:szCs w:val="24"/>
        </w:rPr>
        <w:t>.</w:t>
      </w:r>
      <w:proofErr w:type="gramEnd"/>
    </w:p>
    <w:p w:rsidR="008F78E3" w:rsidRPr="00B73AB3" w:rsidRDefault="000464B8" w:rsidP="00BE6180">
      <w:pPr>
        <w:jc w:val="both"/>
        <w:rPr>
          <w:rFonts w:ascii="Times New Roman" w:hAnsi="Times New Roman" w:cs="Times New Roman"/>
          <w:b/>
          <w:sz w:val="24"/>
          <w:szCs w:val="24"/>
        </w:rPr>
      </w:pPr>
      <w:r w:rsidRPr="00B73AB3">
        <w:rPr>
          <w:rFonts w:ascii="Times New Roman" w:hAnsi="Times New Roman" w:cs="Times New Roman"/>
          <w:b/>
          <w:sz w:val="24"/>
          <w:szCs w:val="24"/>
        </w:rPr>
        <w:t>Участие в конкурсе</w:t>
      </w:r>
    </w:p>
    <w:p w:rsidR="000464B8" w:rsidRPr="00B26606" w:rsidRDefault="000464B8" w:rsidP="00BE6180">
      <w:pPr>
        <w:pStyle w:val="a9"/>
        <w:numPr>
          <w:ilvl w:val="0"/>
          <w:numId w:val="10"/>
        </w:numPr>
        <w:jc w:val="both"/>
      </w:pPr>
      <w:proofErr w:type="gramStart"/>
      <w:r w:rsidRPr="00B26606">
        <w:t>Возможно</w:t>
      </w:r>
      <w:proofErr w:type="gramEnd"/>
      <w:r w:rsidRPr="00B26606">
        <w:t xml:space="preserve"> ли </w:t>
      </w:r>
      <w:r w:rsidR="00B26606">
        <w:t>участвовать в</w:t>
      </w:r>
      <w:r w:rsidRPr="00B26606">
        <w:t xml:space="preserve"> конкурс</w:t>
      </w:r>
      <w:r w:rsidR="00B26606">
        <w:t xml:space="preserve">е </w:t>
      </w:r>
      <w:r w:rsidRPr="00B26606">
        <w:t xml:space="preserve"> коллективу, подавшему заявку на конкурс </w:t>
      </w:r>
      <w:proofErr w:type="spellStart"/>
      <w:r w:rsidRPr="00B26606">
        <w:t>мегагрантов</w:t>
      </w:r>
      <w:proofErr w:type="spellEnd"/>
      <w:r w:rsidRPr="00B26606">
        <w:t xml:space="preserve"> – 220</w:t>
      </w:r>
      <w:r w:rsidR="00B26606">
        <w:t xml:space="preserve"> (2016 г.)</w:t>
      </w:r>
      <w:r w:rsidRPr="00B26606">
        <w:t>?</w:t>
      </w:r>
    </w:p>
    <w:p w:rsidR="000464B8" w:rsidRDefault="000464B8" w:rsidP="00BE6180">
      <w:pPr>
        <w:jc w:val="both"/>
        <w:rPr>
          <w:rFonts w:ascii="Times New Roman" w:hAnsi="Times New Roman" w:cs="Times New Roman"/>
          <w:sz w:val="24"/>
          <w:szCs w:val="24"/>
        </w:rPr>
      </w:pPr>
    </w:p>
    <w:p w:rsidR="000464B8" w:rsidRPr="000464B8" w:rsidRDefault="000464B8" w:rsidP="00BE6180">
      <w:pPr>
        <w:jc w:val="both"/>
        <w:rPr>
          <w:rFonts w:ascii="Times New Roman" w:hAnsi="Times New Roman" w:cs="Times New Roman"/>
          <w:i/>
          <w:sz w:val="24"/>
          <w:szCs w:val="24"/>
        </w:rPr>
      </w:pPr>
      <w:r w:rsidRPr="000464B8">
        <w:rPr>
          <w:rFonts w:ascii="Times New Roman" w:hAnsi="Times New Roman" w:cs="Times New Roman"/>
          <w:i/>
          <w:sz w:val="24"/>
          <w:szCs w:val="24"/>
        </w:rPr>
        <w:t>Это возможно, но необходимо учитывать специфику внутреннего университетского конкурса (условия финансирования и условия найма ведущего ученого)</w:t>
      </w:r>
      <w:r>
        <w:rPr>
          <w:rFonts w:ascii="Times New Roman" w:hAnsi="Times New Roman" w:cs="Times New Roman"/>
          <w:i/>
          <w:sz w:val="24"/>
          <w:szCs w:val="24"/>
        </w:rPr>
        <w:t xml:space="preserve">. В случае выигрыша в конкурсе </w:t>
      </w:r>
      <w:proofErr w:type="spellStart"/>
      <w:r>
        <w:rPr>
          <w:rFonts w:ascii="Times New Roman" w:hAnsi="Times New Roman" w:cs="Times New Roman"/>
          <w:i/>
          <w:sz w:val="24"/>
          <w:szCs w:val="24"/>
        </w:rPr>
        <w:t>мегагрантов</w:t>
      </w:r>
      <w:proofErr w:type="spellEnd"/>
      <w:r>
        <w:rPr>
          <w:rFonts w:ascii="Times New Roman" w:hAnsi="Times New Roman" w:cs="Times New Roman"/>
          <w:i/>
          <w:sz w:val="24"/>
          <w:szCs w:val="24"/>
        </w:rPr>
        <w:t xml:space="preserve"> -  220 </w:t>
      </w:r>
      <w:proofErr w:type="gramStart"/>
      <w:r>
        <w:rPr>
          <w:rFonts w:ascii="Times New Roman" w:hAnsi="Times New Roman" w:cs="Times New Roman"/>
          <w:i/>
          <w:sz w:val="24"/>
          <w:szCs w:val="24"/>
        </w:rPr>
        <w:t>заявка, поданная на внутренний конкурс должна быть отозвана</w:t>
      </w:r>
      <w:proofErr w:type="gramEnd"/>
      <w:r>
        <w:rPr>
          <w:rFonts w:ascii="Times New Roman" w:hAnsi="Times New Roman" w:cs="Times New Roman"/>
          <w:i/>
          <w:sz w:val="24"/>
          <w:szCs w:val="24"/>
        </w:rPr>
        <w:t xml:space="preserve"> </w:t>
      </w:r>
    </w:p>
    <w:p w:rsidR="008F78E3" w:rsidRPr="00431BFB" w:rsidRDefault="008F78E3" w:rsidP="00BE6180">
      <w:pPr>
        <w:jc w:val="both"/>
        <w:rPr>
          <w:rFonts w:ascii="Times New Roman" w:hAnsi="Times New Roman" w:cs="Times New Roman"/>
          <w:b/>
          <w:sz w:val="24"/>
          <w:szCs w:val="24"/>
        </w:rPr>
      </w:pPr>
      <w:r w:rsidRPr="00431BFB">
        <w:rPr>
          <w:rFonts w:ascii="Times New Roman" w:hAnsi="Times New Roman" w:cs="Times New Roman"/>
          <w:b/>
          <w:sz w:val="24"/>
          <w:szCs w:val="24"/>
        </w:rPr>
        <w:t>Ведущий зарубежный ученый</w:t>
      </w:r>
    </w:p>
    <w:p w:rsidR="001F100A" w:rsidRPr="00431BFB" w:rsidRDefault="001F100A" w:rsidP="00BE6180">
      <w:pPr>
        <w:pStyle w:val="a9"/>
        <w:numPr>
          <w:ilvl w:val="0"/>
          <w:numId w:val="9"/>
        </w:numPr>
        <w:jc w:val="both"/>
      </w:pPr>
      <w:r w:rsidRPr="00431BFB">
        <w:t>Гражданство ведущего зарубежного ученого</w:t>
      </w:r>
    </w:p>
    <w:p w:rsidR="00431BFB" w:rsidRDefault="00431BFB" w:rsidP="00BE6180">
      <w:pPr>
        <w:jc w:val="both"/>
        <w:rPr>
          <w:rFonts w:ascii="Times New Roman" w:hAnsi="Times New Roman" w:cs="Times New Roman"/>
          <w:i/>
          <w:sz w:val="24"/>
          <w:szCs w:val="24"/>
        </w:rPr>
      </w:pPr>
    </w:p>
    <w:p w:rsidR="001F100A" w:rsidRPr="00431BFB" w:rsidRDefault="001F100A" w:rsidP="00BE6180">
      <w:pPr>
        <w:jc w:val="both"/>
        <w:rPr>
          <w:rFonts w:ascii="Times New Roman" w:hAnsi="Times New Roman" w:cs="Times New Roman"/>
          <w:i/>
          <w:sz w:val="24"/>
          <w:szCs w:val="24"/>
        </w:rPr>
      </w:pPr>
      <w:r w:rsidRPr="00431BFB">
        <w:rPr>
          <w:rFonts w:ascii="Times New Roman" w:hAnsi="Times New Roman" w:cs="Times New Roman"/>
          <w:i/>
          <w:sz w:val="24"/>
          <w:szCs w:val="24"/>
        </w:rPr>
        <w:t>Специальных требований к гражданству ведущего зарубежного ученого нет. Это может быть, в том числе, и гражданин России, работающий за рубежом.</w:t>
      </w:r>
    </w:p>
    <w:p w:rsidR="001F100A" w:rsidRPr="00431BFB" w:rsidRDefault="001F100A" w:rsidP="00BE6180">
      <w:pPr>
        <w:pStyle w:val="a9"/>
        <w:numPr>
          <w:ilvl w:val="0"/>
          <w:numId w:val="9"/>
        </w:numPr>
        <w:jc w:val="both"/>
      </w:pPr>
      <w:r w:rsidRPr="00431BFB">
        <w:t>Возраст ведущего зарубежного ученого</w:t>
      </w:r>
    </w:p>
    <w:p w:rsidR="00431BFB" w:rsidRDefault="00431BFB" w:rsidP="00BE6180">
      <w:pPr>
        <w:jc w:val="both"/>
        <w:rPr>
          <w:rFonts w:ascii="Times New Roman" w:hAnsi="Times New Roman" w:cs="Times New Roman"/>
          <w:i/>
          <w:sz w:val="24"/>
          <w:szCs w:val="24"/>
        </w:rPr>
      </w:pPr>
    </w:p>
    <w:p w:rsidR="001F100A" w:rsidRPr="00431BFB" w:rsidRDefault="001F100A" w:rsidP="00BE6180">
      <w:pPr>
        <w:jc w:val="both"/>
        <w:rPr>
          <w:rFonts w:ascii="Times New Roman" w:hAnsi="Times New Roman" w:cs="Times New Roman"/>
          <w:i/>
          <w:sz w:val="24"/>
          <w:szCs w:val="24"/>
        </w:rPr>
      </w:pPr>
      <w:r w:rsidRPr="00431BFB">
        <w:rPr>
          <w:rFonts w:ascii="Times New Roman" w:hAnsi="Times New Roman" w:cs="Times New Roman"/>
          <w:i/>
          <w:sz w:val="24"/>
          <w:szCs w:val="24"/>
        </w:rPr>
        <w:t xml:space="preserve">Ограничений по возрасту для привлекаемого к работе в международную лабораторию ведущего зарубежного ученого нет. Однако </w:t>
      </w:r>
      <w:r w:rsidR="00356287">
        <w:rPr>
          <w:rFonts w:ascii="Times New Roman" w:hAnsi="Times New Roman" w:cs="Times New Roman"/>
          <w:i/>
          <w:sz w:val="24"/>
          <w:szCs w:val="24"/>
        </w:rPr>
        <w:t>трудовой договор с ведущим зарубежным ученым не должен включать в себя дополнительн</w:t>
      </w:r>
      <w:r w:rsidR="00F976E0">
        <w:rPr>
          <w:rFonts w:ascii="Times New Roman" w:hAnsi="Times New Roman" w:cs="Times New Roman"/>
          <w:i/>
          <w:sz w:val="24"/>
          <w:szCs w:val="24"/>
        </w:rPr>
        <w:t xml:space="preserve">ые </w:t>
      </w:r>
      <w:r w:rsidR="00356287">
        <w:rPr>
          <w:rFonts w:ascii="Times New Roman" w:hAnsi="Times New Roman" w:cs="Times New Roman"/>
          <w:i/>
          <w:sz w:val="24"/>
          <w:szCs w:val="24"/>
        </w:rPr>
        <w:t>требовани</w:t>
      </w:r>
      <w:r w:rsidR="00F976E0">
        <w:rPr>
          <w:rFonts w:ascii="Times New Roman" w:hAnsi="Times New Roman" w:cs="Times New Roman"/>
          <w:i/>
          <w:sz w:val="24"/>
          <w:szCs w:val="24"/>
        </w:rPr>
        <w:t>я</w:t>
      </w:r>
      <w:r w:rsidR="00356287">
        <w:rPr>
          <w:rFonts w:ascii="Times New Roman" w:hAnsi="Times New Roman" w:cs="Times New Roman"/>
          <w:i/>
          <w:sz w:val="24"/>
          <w:szCs w:val="24"/>
        </w:rPr>
        <w:t xml:space="preserve"> к особым условиям пребывания в России, отличны</w:t>
      </w:r>
      <w:r w:rsidR="00F976E0">
        <w:rPr>
          <w:rFonts w:ascii="Times New Roman" w:hAnsi="Times New Roman" w:cs="Times New Roman"/>
          <w:i/>
          <w:sz w:val="24"/>
          <w:szCs w:val="24"/>
        </w:rPr>
        <w:t>е</w:t>
      </w:r>
      <w:r w:rsidR="00356287">
        <w:rPr>
          <w:rFonts w:ascii="Times New Roman" w:hAnsi="Times New Roman" w:cs="Times New Roman"/>
          <w:i/>
          <w:sz w:val="24"/>
          <w:szCs w:val="24"/>
        </w:rPr>
        <w:t xml:space="preserve"> </w:t>
      </w:r>
      <w:proofErr w:type="gramStart"/>
      <w:r w:rsidR="00356287">
        <w:rPr>
          <w:rFonts w:ascii="Times New Roman" w:hAnsi="Times New Roman" w:cs="Times New Roman"/>
          <w:i/>
          <w:sz w:val="24"/>
          <w:szCs w:val="24"/>
        </w:rPr>
        <w:t>от</w:t>
      </w:r>
      <w:proofErr w:type="gramEnd"/>
      <w:r w:rsidR="00356287">
        <w:rPr>
          <w:rFonts w:ascii="Times New Roman" w:hAnsi="Times New Roman" w:cs="Times New Roman"/>
          <w:i/>
          <w:sz w:val="24"/>
          <w:szCs w:val="24"/>
        </w:rPr>
        <w:t xml:space="preserve"> стандартных.</w:t>
      </w:r>
    </w:p>
    <w:p w:rsidR="008F78E3" w:rsidRPr="00431BFB" w:rsidRDefault="00D62FF8" w:rsidP="00BE6180">
      <w:pPr>
        <w:pStyle w:val="a9"/>
        <w:numPr>
          <w:ilvl w:val="0"/>
          <w:numId w:val="9"/>
        </w:numPr>
        <w:jc w:val="both"/>
      </w:pPr>
      <w:r w:rsidRPr="00431BFB">
        <w:t>Обязательства ведущего ученого по срокам пребывания в России</w:t>
      </w:r>
    </w:p>
    <w:p w:rsidR="00431BFB" w:rsidRDefault="00431BFB" w:rsidP="00BE6180">
      <w:pPr>
        <w:jc w:val="both"/>
        <w:rPr>
          <w:rFonts w:ascii="Times New Roman" w:hAnsi="Times New Roman" w:cs="Times New Roman"/>
          <w:i/>
          <w:sz w:val="24"/>
          <w:szCs w:val="24"/>
        </w:rPr>
      </w:pPr>
    </w:p>
    <w:p w:rsidR="00351615" w:rsidRDefault="00D62FF8" w:rsidP="00BE6180">
      <w:pPr>
        <w:jc w:val="both"/>
        <w:rPr>
          <w:rFonts w:ascii="Times New Roman" w:hAnsi="Times New Roman" w:cs="Times New Roman"/>
          <w:i/>
          <w:sz w:val="24"/>
          <w:szCs w:val="24"/>
        </w:rPr>
      </w:pPr>
      <w:r w:rsidRPr="00431BFB">
        <w:rPr>
          <w:rFonts w:ascii="Times New Roman" w:hAnsi="Times New Roman" w:cs="Times New Roman"/>
          <w:i/>
          <w:sz w:val="24"/>
          <w:szCs w:val="24"/>
        </w:rPr>
        <w:t xml:space="preserve">В конкурсной документации предложен </w:t>
      </w:r>
      <w:r w:rsidR="00356287">
        <w:rPr>
          <w:rFonts w:ascii="Times New Roman" w:hAnsi="Times New Roman" w:cs="Times New Roman"/>
          <w:i/>
          <w:sz w:val="24"/>
          <w:szCs w:val="24"/>
        </w:rPr>
        <w:t>один из вариантов</w:t>
      </w:r>
      <w:r w:rsidRPr="00431BFB">
        <w:rPr>
          <w:rFonts w:ascii="Times New Roman" w:hAnsi="Times New Roman" w:cs="Times New Roman"/>
          <w:i/>
          <w:sz w:val="24"/>
          <w:szCs w:val="24"/>
        </w:rPr>
        <w:t xml:space="preserve"> работы международн</w:t>
      </w:r>
      <w:r w:rsidR="00356287">
        <w:rPr>
          <w:rFonts w:ascii="Times New Roman" w:hAnsi="Times New Roman" w:cs="Times New Roman"/>
          <w:i/>
          <w:sz w:val="24"/>
          <w:szCs w:val="24"/>
        </w:rPr>
        <w:t>ой</w:t>
      </w:r>
      <w:r w:rsidRPr="00431BFB">
        <w:rPr>
          <w:rFonts w:ascii="Times New Roman" w:hAnsi="Times New Roman" w:cs="Times New Roman"/>
          <w:i/>
          <w:sz w:val="24"/>
          <w:szCs w:val="24"/>
        </w:rPr>
        <w:t xml:space="preserve"> лаборатори</w:t>
      </w:r>
      <w:r w:rsidR="00356287">
        <w:rPr>
          <w:rFonts w:ascii="Times New Roman" w:hAnsi="Times New Roman" w:cs="Times New Roman"/>
          <w:i/>
          <w:sz w:val="24"/>
          <w:szCs w:val="24"/>
        </w:rPr>
        <w:t>и</w:t>
      </w:r>
      <w:r w:rsidR="00CB34C9" w:rsidRPr="00431BFB">
        <w:rPr>
          <w:rFonts w:ascii="Times New Roman" w:hAnsi="Times New Roman" w:cs="Times New Roman"/>
          <w:i/>
          <w:sz w:val="24"/>
          <w:szCs w:val="24"/>
        </w:rPr>
        <w:t xml:space="preserve">. </w:t>
      </w:r>
      <w:r w:rsidRPr="00431BFB">
        <w:rPr>
          <w:rFonts w:ascii="Times New Roman" w:hAnsi="Times New Roman" w:cs="Times New Roman"/>
          <w:i/>
          <w:sz w:val="24"/>
          <w:szCs w:val="24"/>
        </w:rPr>
        <w:t xml:space="preserve"> </w:t>
      </w:r>
      <w:r w:rsidR="00356287">
        <w:rPr>
          <w:rFonts w:ascii="Times New Roman" w:hAnsi="Times New Roman" w:cs="Times New Roman"/>
          <w:i/>
          <w:sz w:val="24"/>
          <w:szCs w:val="24"/>
        </w:rPr>
        <w:t>И</w:t>
      </w:r>
      <w:r w:rsidRPr="00431BFB">
        <w:rPr>
          <w:rFonts w:ascii="Times New Roman" w:hAnsi="Times New Roman" w:cs="Times New Roman"/>
          <w:i/>
          <w:sz w:val="24"/>
          <w:szCs w:val="24"/>
        </w:rPr>
        <w:t>нициатор заявки может предложить иные условия привлечения в проект зарубежных специалистов (ведущего зарубежного ученого / второго зарубежного ученого / коллектива зарубежных ученых)  с указанием ежегодных обязательств каждого из зарубежных специалистов</w:t>
      </w:r>
      <w:r w:rsidR="00356287">
        <w:rPr>
          <w:rFonts w:ascii="Times New Roman" w:hAnsi="Times New Roman" w:cs="Times New Roman"/>
          <w:i/>
          <w:sz w:val="24"/>
          <w:szCs w:val="24"/>
        </w:rPr>
        <w:t xml:space="preserve"> и включить их в конкурсную документацию</w:t>
      </w:r>
      <w:r w:rsidR="00351615">
        <w:rPr>
          <w:rFonts w:ascii="Times New Roman" w:hAnsi="Times New Roman" w:cs="Times New Roman"/>
          <w:i/>
          <w:sz w:val="24"/>
          <w:szCs w:val="24"/>
        </w:rPr>
        <w:t>.</w:t>
      </w:r>
    </w:p>
    <w:p w:rsidR="00351615" w:rsidRDefault="00351615" w:rsidP="00BE6180">
      <w:pPr>
        <w:jc w:val="both"/>
        <w:rPr>
          <w:rFonts w:ascii="Times New Roman" w:hAnsi="Times New Roman" w:cs="Times New Roman"/>
          <w:i/>
          <w:sz w:val="24"/>
          <w:szCs w:val="24"/>
        </w:rPr>
      </w:pPr>
    </w:p>
    <w:p w:rsidR="00351615" w:rsidRPr="00351615" w:rsidRDefault="00351615" w:rsidP="00BE6180">
      <w:pPr>
        <w:pStyle w:val="a9"/>
        <w:numPr>
          <w:ilvl w:val="0"/>
          <w:numId w:val="9"/>
        </w:numPr>
        <w:jc w:val="both"/>
      </w:pPr>
      <w:r w:rsidRPr="00351615">
        <w:lastRenderedPageBreak/>
        <w:t xml:space="preserve">Что означает "ведущий ученый"? </w:t>
      </w:r>
    </w:p>
    <w:p w:rsidR="00351615" w:rsidRDefault="00351615" w:rsidP="00BE6180">
      <w:pPr>
        <w:jc w:val="both"/>
        <w:rPr>
          <w:rFonts w:ascii="Calibri" w:hAnsi="Calibri"/>
        </w:rPr>
      </w:pPr>
    </w:p>
    <w:p w:rsidR="00351615" w:rsidRDefault="00351615" w:rsidP="00BE6180">
      <w:pPr>
        <w:jc w:val="both"/>
        <w:rPr>
          <w:rFonts w:ascii="Times New Roman" w:hAnsi="Times New Roman" w:cs="Times New Roman"/>
          <w:i/>
          <w:sz w:val="24"/>
          <w:szCs w:val="24"/>
        </w:rPr>
      </w:pPr>
      <w:r w:rsidRPr="00351615">
        <w:rPr>
          <w:rFonts w:ascii="Times New Roman" w:hAnsi="Times New Roman" w:cs="Times New Roman"/>
          <w:i/>
          <w:sz w:val="24"/>
          <w:szCs w:val="24"/>
        </w:rPr>
        <w:t>Одним из критериев оценки заявки являются научные достижения ведущего ученого, в котором оценивается его публикационная активность (количество публикаций, в каких изданиях, цитируемость</w:t>
      </w:r>
      <w:proofErr w:type="gramStart"/>
      <w:r w:rsidRPr="00351615">
        <w:rPr>
          <w:rFonts w:ascii="Times New Roman" w:hAnsi="Times New Roman" w:cs="Times New Roman"/>
          <w:i/>
          <w:sz w:val="24"/>
          <w:szCs w:val="24"/>
        </w:rPr>
        <w:t xml:space="preserve"> )</w:t>
      </w:r>
      <w:proofErr w:type="gramEnd"/>
      <w:r w:rsidRPr="00351615">
        <w:rPr>
          <w:rFonts w:ascii="Times New Roman" w:hAnsi="Times New Roman" w:cs="Times New Roman"/>
          <w:i/>
          <w:sz w:val="24"/>
          <w:szCs w:val="24"/>
        </w:rPr>
        <w:t>, наличие опыта  подготовки научных кадров, опыта по созданию и управлению научным коллективом</w:t>
      </w:r>
    </w:p>
    <w:p w:rsidR="00351615" w:rsidRPr="00351615" w:rsidRDefault="00351615" w:rsidP="00BE6180">
      <w:pPr>
        <w:pStyle w:val="a9"/>
        <w:numPr>
          <w:ilvl w:val="0"/>
          <w:numId w:val="9"/>
        </w:numPr>
        <w:jc w:val="both"/>
      </w:pPr>
      <w:proofErr w:type="gramStart"/>
      <w:r w:rsidRPr="00351615">
        <w:t xml:space="preserve">Может ли специалист, нанятый в НИУ ВШЭ по процедуре международного </w:t>
      </w:r>
      <w:proofErr w:type="spellStart"/>
      <w:r w:rsidRPr="00351615">
        <w:t>рекрутинга</w:t>
      </w:r>
      <w:proofErr w:type="spellEnd"/>
      <w:r w:rsidRPr="00351615">
        <w:t>, быть ведущим ученым в МЛ?</w:t>
      </w:r>
      <w:proofErr w:type="gramEnd"/>
    </w:p>
    <w:p w:rsidR="00351615" w:rsidRDefault="00351615" w:rsidP="00BE6180">
      <w:pPr>
        <w:jc w:val="both"/>
        <w:rPr>
          <w:rFonts w:ascii="Times New Roman" w:hAnsi="Times New Roman" w:cs="Times New Roman"/>
          <w:i/>
          <w:sz w:val="24"/>
          <w:szCs w:val="24"/>
        </w:rPr>
      </w:pPr>
    </w:p>
    <w:p w:rsidR="00351615" w:rsidRPr="00351615" w:rsidRDefault="00351615" w:rsidP="00BE6180">
      <w:pPr>
        <w:jc w:val="both"/>
        <w:rPr>
          <w:rFonts w:ascii="Times New Roman" w:hAnsi="Times New Roman" w:cs="Times New Roman"/>
          <w:i/>
          <w:sz w:val="24"/>
          <w:szCs w:val="24"/>
        </w:rPr>
      </w:pPr>
      <w:r w:rsidRPr="00351615">
        <w:rPr>
          <w:rFonts w:ascii="Times New Roman" w:hAnsi="Times New Roman" w:cs="Times New Roman"/>
          <w:i/>
          <w:sz w:val="24"/>
          <w:szCs w:val="24"/>
        </w:rPr>
        <w:t xml:space="preserve">Согласно конкурсной документации, ведущий ученый должен быть оформлен в создаваемую лабораторию на полную ставку по основному месту работы с определенными обязательствами. </w:t>
      </w:r>
      <w:proofErr w:type="gramStart"/>
      <w:r w:rsidRPr="00351615">
        <w:rPr>
          <w:rFonts w:ascii="Times New Roman" w:hAnsi="Times New Roman" w:cs="Times New Roman"/>
          <w:i/>
          <w:sz w:val="24"/>
          <w:szCs w:val="24"/>
        </w:rPr>
        <w:t>Поскольку у иностранных сотрудников, принятых на работу в НИУ ВШЭ по процедуре м</w:t>
      </w:r>
      <w:r w:rsidR="00C96903">
        <w:rPr>
          <w:rFonts w:ascii="Times New Roman" w:hAnsi="Times New Roman" w:cs="Times New Roman"/>
          <w:i/>
          <w:sz w:val="24"/>
          <w:szCs w:val="24"/>
        </w:rPr>
        <w:t>е</w:t>
      </w:r>
      <w:r w:rsidRPr="00351615">
        <w:rPr>
          <w:rFonts w:ascii="Times New Roman" w:hAnsi="Times New Roman" w:cs="Times New Roman"/>
          <w:i/>
          <w:sz w:val="24"/>
          <w:szCs w:val="24"/>
        </w:rPr>
        <w:t>жд</w:t>
      </w:r>
      <w:r w:rsidR="00C96903">
        <w:rPr>
          <w:rFonts w:ascii="Times New Roman" w:hAnsi="Times New Roman" w:cs="Times New Roman"/>
          <w:i/>
          <w:sz w:val="24"/>
          <w:szCs w:val="24"/>
        </w:rPr>
        <w:t>у</w:t>
      </w:r>
      <w:r w:rsidRPr="00351615">
        <w:rPr>
          <w:rFonts w:ascii="Times New Roman" w:hAnsi="Times New Roman" w:cs="Times New Roman"/>
          <w:i/>
          <w:sz w:val="24"/>
          <w:szCs w:val="24"/>
        </w:rPr>
        <w:t xml:space="preserve">народного </w:t>
      </w:r>
      <w:proofErr w:type="spellStart"/>
      <w:r w:rsidRPr="00351615">
        <w:rPr>
          <w:rFonts w:ascii="Times New Roman" w:hAnsi="Times New Roman" w:cs="Times New Roman"/>
          <w:i/>
          <w:sz w:val="24"/>
          <w:szCs w:val="24"/>
        </w:rPr>
        <w:t>рекрутинга</w:t>
      </w:r>
      <w:proofErr w:type="spellEnd"/>
      <w:r w:rsidRPr="00351615">
        <w:rPr>
          <w:rFonts w:ascii="Times New Roman" w:hAnsi="Times New Roman" w:cs="Times New Roman"/>
          <w:i/>
          <w:sz w:val="24"/>
          <w:szCs w:val="24"/>
        </w:rPr>
        <w:t>,  уже есть действующие контрактные обязательства перед НИУ ВШЭ, они  не могут быть ведущими учеными.</w:t>
      </w:r>
      <w:proofErr w:type="gramEnd"/>
      <w:r w:rsidRPr="00351615">
        <w:rPr>
          <w:rFonts w:ascii="Times New Roman" w:hAnsi="Times New Roman" w:cs="Times New Roman"/>
          <w:i/>
          <w:sz w:val="24"/>
          <w:szCs w:val="24"/>
        </w:rPr>
        <w:t xml:space="preserve">   Они могут принимать участие в научно-исследовательском проекте МЛ, </w:t>
      </w:r>
      <w:r w:rsidR="00B26606">
        <w:rPr>
          <w:rFonts w:ascii="Times New Roman" w:hAnsi="Times New Roman" w:cs="Times New Roman"/>
          <w:i/>
          <w:sz w:val="24"/>
          <w:szCs w:val="24"/>
        </w:rPr>
        <w:t>но с учетом следующих положений (</w:t>
      </w:r>
      <w:proofErr w:type="spellStart"/>
      <w:r w:rsidR="00B26606">
        <w:rPr>
          <w:rFonts w:ascii="Times New Roman" w:hAnsi="Times New Roman" w:cs="Times New Roman"/>
          <w:i/>
          <w:sz w:val="24"/>
          <w:szCs w:val="24"/>
        </w:rPr>
        <w:t>пп</w:t>
      </w:r>
      <w:proofErr w:type="spellEnd"/>
      <w:r w:rsidR="00B26606">
        <w:rPr>
          <w:rFonts w:ascii="Times New Roman" w:hAnsi="Times New Roman" w:cs="Times New Roman"/>
          <w:i/>
          <w:sz w:val="24"/>
          <w:szCs w:val="24"/>
        </w:rPr>
        <w:t xml:space="preserve"> 4.4.11, 4.4.12 Конкурсной документации)</w:t>
      </w:r>
      <w:r w:rsidRPr="00351615">
        <w:rPr>
          <w:rFonts w:ascii="Times New Roman" w:hAnsi="Times New Roman" w:cs="Times New Roman"/>
          <w:i/>
          <w:sz w:val="24"/>
          <w:szCs w:val="24"/>
        </w:rPr>
        <w:t>:</w:t>
      </w:r>
    </w:p>
    <w:p w:rsidR="00351615" w:rsidRPr="00B26606" w:rsidRDefault="00351615" w:rsidP="00BE6180">
      <w:pPr>
        <w:pStyle w:val="a9"/>
        <w:numPr>
          <w:ilvl w:val="0"/>
          <w:numId w:val="9"/>
        </w:numPr>
        <w:jc w:val="both"/>
        <w:rPr>
          <w:i/>
        </w:rPr>
      </w:pPr>
      <w:proofErr w:type="gramStart"/>
      <w:r w:rsidRPr="00B26606">
        <w:rPr>
          <w:i/>
        </w:rPr>
        <w:t xml:space="preserve">в случае привлечения к работе в МЛ по совместительству работника, нанятого в НИУ ВШЭ на международном рынке труда по процедурам международного </w:t>
      </w:r>
      <w:proofErr w:type="spellStart"/>
      <w:r w:rsidRPr="00B26606">
        <w:rPr>
          <w:i/>
        </w:rPr>
        <w:t>рекрутинга</w:t>
      </w:r>
      <w:proofErr w:type="spellEnd"/>
      <w:r w:rsidRPr="00B26606">
        <w:rPr>
          <w:i/>
        </w:rPr>
        <w:t>, размер ежемесячной оплаты труда этого работника по основному трудовому договору с НИУ ВШЭ уменьшается на сумму ежемесячной оплаты труда в МЛ, за исключением работников, принимаемых в МЛ на минимальную долю ставки с ежемесячной оплатой труда в размере до</w:t>
      </w:r>
      <w:proofErr w:type="gramEnd"/>
      <w:r w:rsidRPr="00B26606">
        <w:rPr>
          <w:i/>
        </w:rPr>
        <w:t xml:space="preserve"> 5 000 рублей в месяц;</w:t>
      </w:r>
    </w:p>
    <w:p w:rsidR="00351615" w:rsidRPr="00B26606" w:rsidRDefault="00351615" w:rsidP="00BE6180">
      <w:pPr>
        <w:pStyle w:val="a9"/>
        <w:numPr>
          <w:ilvl w:val="0"/>
          <w:numId w:val="9"/>
        </w:numPr>
        <w:jc w:val="both"/>
        <w:rPr>
          <w:i/>
        </w:rPr>
      </w:pPr>
      <w:r w:rsidRPr="00B26606">
        <w:rPr>
          <w:i/>
        </w:rPr>
        <w:t xml:space="preserve">в случае привлечения к работе МЛ специалиста, нанятого в НИУ ВШЭ на международном рынке труда по процедурам международного </w:t>
      </w:r>
      <w:proofErr w:type="spellStart"/>
      <w:r w:rsidRPr="00B26606">
        <w:rPr>
          <w:i/>
        </w:rPr>
        <w:t>рекрутинга</w:t>
      </w:r>
      <w:proofErr w:type="spellEnd"/>
      <w:r w:rsidRPr="00B26606">
        <w:rPr>
          <w:i/>
        </w:rPr>
        <w:t>, личная публикационная активность указанного работника не учитывается в отчетных показателях эффективности деятельности МЛ. Публикационная активность указанного работника, осуществленная в соавторстве с работниками МЛ, учитывается в отчетных показателях эффективности деятельности МЛ;</w:t>
      </w:r>
    </w:p>
    <w:p w:rsidR="00351615" w:rsidRPr="00431BFB" w:rsidRDefault="00351615" w:rsidP="00BE6180">
      <w:pPr>
        <w:jc w:val="both"/>
        <w:rPr>
          <w:rFonts w:ascii="Times New Roman" w:hAnsi="Times New Roman" w:cs="Times New Roman"/>
          <w:i/>
          <w:sz w:val="24"/>
          <w:szCs w:val="24"/>
        </w:rPr>
      </w:pPr>
    </w:p>
    <w:p w:rsidR="00141574" w:rsidRPr="00431BFB" w:rsidRDefault="00141574" w:rsidP="00BE6180">
      <w:pPr>
        <w:pStyle w:val="a9"/>
        <w:numPr>
          <w:ilvl w:val="0"/>
          <w:numId w:val="8"/>
        </w:numPr>
        <w:jc w:val="both"/>
      </w:pPr>
      <w:r w:rsidRPr="00431BFB">
        <w:t xml:space="preserve">Должны ли зарубежные участники международной лаборатории в публикациях указывать </w:t>
      </w:r>
      <w:proofErr w:type="spellStart"/>
      <w:r w:rsidRPr="00431BFB">
        <w:t>аффилиацию</w:t>
      </w:r>
      <w:proofErr w:type="spellEnd"/>
      <w:r w:rsidRPr="00431BFB">
        <w:t xml:space="preserve"> с НИУ  ВШЭ? </w:t>
      </w:r>
    </w:p>
    <w:p w:rsidR="001F100A" w:rsidRPr="00431BFB" w:rsidRDefault="001F100A" w:rsidP="00BE6180">
      <w:pPr>
        <w:jc w:val="both"/>
        <w:rPr>
          <w:rFonts w:ascii="Times New Roman" w:hAnsi="Times New Roman" w:cs="Times New Roman"/>
          <w:sz w:val="24"/>
          <w:szCs w:val="24"/>
        </w:rPr>
      </w:pPr>
    </w:p>
    <w:p w:rsidR="00141574" w:rsidRDefault="00141574" w:rsidP="00BE6180">
      <w:pPr>
        <w:jc w:val="both"/>
        <w:rPr>
          <w:rFonts w:ascii="Times New Roman" w:hAnsi="Times New Roman" w:cs="Times New Roman"/>
          <w:i/>
          <w:sz w:val="24"/>
          <w:szCs w:val="24"/>
        </w:rPr>
      </w:pPr>
      <w:r w:rsidRPr="00431BFB">
        <w:rPr>
          <w:rFonts w:ascii="Times New Roman" w:hAnsi="Times New Roman" w:cs="Times New Roman"/>
          <w:i/>
          <w:sz w:val="24"/>
          <w:szCs w:val="24"/>
        </w:rPr>
        <w:t>Зарубежные специалисты, занятые в международных лабораториях, принимаются в  Университет по трудовому договору и, соответственно,  сопровождают свои публикации, написанны</w:t>
      </w:r>
      <w:r w:rsidR="001F100A" w:rsidRPr="00431BFB">
        <w:rPr>
          <w:rFonts w:ascii="Times New Roman" w:hAnsi="Times New Roman" w:cs="Times New Roman"/>
          <w:i/>
          <w:sz w:val="24"/>
          <w:szCs w:val="24"/>
        </w:rPr>
        <w:t>е</w:t>
      </w:r>
      <w:r w:rsidRPr="00431BFB">
        <w:rPr>
          <w:rFonts w:ascii="Times New Roman" w:hAnsi="Times New Roman" w:cs="Times New Roman"/>
          <w:i/>
          <w:sz w:val="24"/>
          <w:szCs w:val="24"/>
        </w:rPr>
        <w:t xml:space="preserve"> в рамках данного проекта</w:t>
      </w:r>
      <w:r w:rsidR="001F100A" w:rsidRPr="00431BFB">
        <w:rPr>
          <w:rFonts w:ascii="Times New Roman" w:hAnsi="Times New Roman" w:cs="Times New Roman"/>
          <w:i/>
          <w:sz w:val="24"/>
          <w:szCs w:val="24"/>
        </w:rPr>
        <w:t>,</w:t>
      </w:r>
      <w:r w:rsidRPr="00431BFB">
        <w:rPr>
          <w:rFonts w:ascii="Times New Roman" w:hAnsi="Times New Roman" w:cs="Times New Roman"/>
          <w:i/>
          <w:sz w:val="24"/>
          <w:szCs w:val="24"/>
        </w:rPr>
        <w:t xml:space="preserve">  </w:t>
      </w:r>
      <w:proofErr w:type="spellStart"/>
      <w:r w:rsidRPr="00431BFB">
        <w:rPr>
          <w:rFonts w:ascii="Times New Roman" w:hAnsi="Times New Roman" w:cs="Times New Roman"/>
          <w:i/>
          <w:sz w:val="24"/>
          <w:szCs w:val="24"/>
        </w:rPr>
        <w:t>аффилиаци</w:t>
      </w:r>
      <w:r w:rsidR="001F100A" w:rsidRPr="00431BFB">
        <w:rPr>
          <w:rFonts w:ascii="Times New Roman" w:hAnsi="Times New Roman" w:cs="Times New Roman"/>
          <w:i/>
          <w:sz w:val="24"/>
          <w:szCs w:val="24"/>
        </w:rPr>
        <w:t>ей</w:t>
      </w:r>
      <w:proofErr w:type="spellEnd"/>
      <w:r w:rsidRPr="00431BFB">
        <w:rPr>
          <w:rFonts w:ascii="Times New Roman" w:hAnsi="Times New Roman" w:cs="Times New Roman"/>
          <w:i/>
          <w:sz w:val="24"/>
          <w:szCs w:val="24"/>
        </w:rPr>
        <w:t xml:space="preserve"> </w:t>
      </w:r>
      <w:r w:rsidR="001F100A" w:rsidRPr="00431BFB">
        <w:rPr>
          <w:rFonts w:ascii="Times New Roman" w:hAnsi="Times New Roman" w:cs="Times New Roman"/>
          <w:i/>
          <w:sz w:val="24"/>
          <w:szCs w:val="24"/>
        </w:rPr>
        <w:t>с</w:t>
      </w:r>
      <w:r w:rsidRPr="00431BFB">
        <w:rPr>
          <w:rFonts w:ascii="Times New Roman" w:hAnsi="Times New Roman" w:cs="Times New Roman"/>
          <w:i/>
          <w:sz w:val="24"/>
          <w:szCs w:val="24"/>
        </w:rPr>
        <w:t xml:space="preserve"> ВШЭ</w:t>
      </w:r>
      <w:r w:rsidR="001F100A" w:rsidRPr="00431BFB">
        <w:rPr>
          <w:rFonts w:ascii="Times New Roman" w:hAnsi="Times New Roman" w:cs="Times New Roman"/>
          <w:i/>
          <w:sz w:val="24"/>
          <w:szCs w:val="24"/>
        </w:rPr>
        <w:t>.</w:t>
      </w:r>
    </w:p>
    <w:p w:rsidR="00905AD3" w:rsidRPr="00905AD3" w:rsidRDefault="00905AD3" w:rsidP="00BE6180">
      <w:pPr>
        <w:pStyle w:val="a9"/>
        <w:numPr>
          <w:ilvl w:val="0"/>
          <w:numId w:val="8"/>
        </w:numPr>
        <w:jc w:val="both"/>
      </w:pPr>
      <w:bookmarkStart w:id="0" w:name="_GoBack"/>
      <w:r w:rsidRPr="00905AD3">
        <w:lastRenderedPageBreak/>
        <w:t>Должны ли читаемые курсы входить в утверждаемый рабочий учебный план? Распространяются ли на читаемые курсы «часовые» нормативы НИУ ВШЭ, применяемые к различным видам занятий (лекции, семинары, мастер-классы)?</w:t>
      </w:r>
    </w:p>
    <w:p w:rsidR="00F877FA" w:rsidRDefault="00F877FA" w:rsidP="00BE6180">
      <w:pPr>
        <w:jc w:val="both"/>
        <w:rPr>
          <w:rFonts w:ascii="Times New Roman" w:hAnsi="Times New Roman" w:cs="Times New Roman"/>
          <w:i/>
          <w:sz w:val="24"/>
          <w:szCs w:val="24"/>
        </w:rPr>
      </w:pPr>
    </w:p>
    <w:p w:rsidR="00966999" w:rsidRPr="00623970" w:rsidRDefault="00905AD3" w:rsidP="00BE6180">
      <w:pPr>
        <w:jc w:val="both"/>
        <w:rPr>
          <w:rFonts w:ascii="Times New Roman" w:hAnsi="Times New Roman" w:cs="Times New Roman"/>
          <w:i/>
          <w:sz w:val="24"/>
          <w:szCs w:val="24"/>
        </w:rPr>
      </w:pPr>
      <w:r>
        <w:rPr>
          <w:rFonts w:ascii="Times New Roman" w:hAnsi="Times New Roman" w:cs="Times New Roman"/>
          <w:i/>
          <w:sz w:val="24"/>
          <w:szCs w:val="24"/>
        </w:rPr>
        <w:t xml:space="preserve">Читаемые ведущим ученым курсы должны входить в утверждаемый рабочий учебный план. </w:t>
      </w:r>
      <w:r w:rsidRPr="00905AD3">
        <w:rPr>
          <w:rFonts w:ascii="Times New Roman" w:hAnsi="Times New Roman" w:cs="Times New Roman"/>
          <w:i/>
          <w:sz w:val="24"/>
          <w:szCs w:val="24"/>
        </w:rPr>
        <w:t>Нормативы для расчета учебной нагрузки преподавателя по видам работ</w:t>
      </w:r>
      <w:r>
        <w:rPr>
          <w:rFonts w:ascii="Times New Roman" w:hAnsi="Times New Roman" w:cs="Times New Roman"/>
          <w:i/>
          <w:sz w:val="24"/>
          <w:szCs w:val="24"/>
        </w:rPr>
        <w:t xml:space="preserve"> </w:t>
      </w:r>
      <w:r w:rsidR="008C3FE8">
        <w:rPr>
          <w:rFonts w:ascii="Times New Roman" w:hAnsi="Times New Roman" w:cs="Times New Roman"/>
          <w:i/>
          <w:sz w:val="24"/>
          <w:szCs w:val="24"/>
        </w:rPr>
        <w:t xml:space="preserve">даны на странице  </w:t>
      </w:r>
      <w:hyperlink r:id="rId9" w:history="1">
        <w:r w:rsidR="00623970" w:rsidRPr="00341C5C">
          <w:rPr>
            <w:rStyle w:val="a4"/>
          </w:rPr>
          <w:t>https://www.hse.ru/studyspravka/NauchSotrud</w:t>
        </w:r>
      </w:hyperlink>
      <w:r w:rsidR="00623970" w:rsidRPr="00623970">
        <w:t xml:space="preserve"> </w:t>
      </w:r>
    </w:p>
    <w:bookmarkEnd w:id="0"/>
    <w:p w:rsidR="00F877FA" w:rsidRPr="00F877FA" w:rsidRDefault="005D0F0C" w:rsidP="00BE6180">
      <w:pPr>
        <w:pStyle w:val="a9"/>
        <w:numPr>
          <w:ilvl w:val="0"/>
          <w:numId w:val="8"/>
        </w:numPr>
        <w:jc w:val="both"/>
      </w:pPr>
      <w:r>
        <w:t>Какие налоги должен будет заплатить зарубежный ученый, работая в международной лаборатории</w:t>
      </w:r>
    </w:p>
    <w:p w:rsidR="00E34F4E" w:rsidRDefault="00E34F4E" w:rsidP="00BE6180">
      <w:pPr>
        <w:jc w:val="both"/>
        <w:rPr>
          <w:rFonts w:ascii="Times New Roman" w:hAnsi="Times New Roman" w:cs="Times New Roman"/>
          <w:i/>
          <w:sz w:val="24"/>
          <w:szCs w:val="24"/>
        </w:rPr>
      </w:pPr>
    </w:p>
    <w:p w:rsidR="00CB34C9" w:rsidRDefault="0074308B" w:rsidP="00BE6180">
      <w:pPr>
        <w:jc w:val="both"/>
        <w:rPr>
          <w:rFonts w:ascii="Times New Roman" w:hAnsi="Times New Roman" w:cs="Times New Roman"/>
          <w:i/>
          <w:color w:val="000000" w:themeColor="text1"/>
          <w:sz w:val="24"/>
          <w:szCs w:val="24"/>
        </w:rPr>
      </w:pPr>
      <w:r w:rsidRPr="009E78B1">
        <w:rPr>
          <w:rFonts w:ascii="Times New Roman" w:hAnsi="Times New Roman" w:cs="Times New Roman"/>
          <w:i/>
          <w:sz w:val="24"/>
          <w:szCs w:val="24"/>
        </w:rPr>
        <w:t xml:space="preserve">Зарубежные специалисты, занятые в международных лабораториях, принимаются в  Университет по трудовому договору. </w:t>
      </w:r>
      <w:r w:rsidR="005D0F0C" w:rsidRPr="009E78B1">
        <w:rPr>
          <w:rFonts w:ascii="Times New Roman" w:hAnsi="Times New Roman" w:cs="Times New Roman"/>
          <w:i/>
          <w:sz w:val="24"/>
          <w:szCs w:val="24"/>
        </w:rPr>
        <w:t xml:space="preserve">Размер налога на доход физического лица </w:t>
      </w:r>
      <w:r w:rsidR="00FB0943" w:rsidRPr="00FB0943">
        <w:rPr>
          <w:rFonts w:ascii="Times New Roman" w:hAnsi="Times New Roman" w:cs="Times New Roman"/>
          <w:i/>
          <w:sz w:val="24"/>
          <w:szCs w:val="24"/>
          <w:u w:val="single"/>
        </w:rPr>
        <w:t>нерезидента</w:t>
      </w:r>
      <w:r w:rsidR="005D0F0C" w:rsidRPr="009E78B1">
        <w:rPr>
          <w:rFonts w:ascii="Times New Roman" w:hAnsi="Times New Roman" w:cs="Times New Roman"/>
          <w:i/>
          <w:sz w:val="24"/>
          <w:szCs w:val="24"/>
        </w:rPr>
        <w:t xml:space="preserve"> РФ</w:t>
      </w:r>
      <w:r w:rsidR="009E78B1" w:rsidRPr="009E78B1">
        <w:rPr>
          <w:rFonts w:ascii="Times New Roman" w:hAnsi="Times New Roman" w:cs="Times New Roman"/>
          <w:i/>
          <w:sz w:val="24"/>
          <w:szCs w:val="24"/>
        </w:rPr>
        <w:t xml:space="preserve"> </w:t>
      </w:r>
      <w:r w:rsidR="005D0F0C" w:rsidRPr="009E78B1">
        <w:rPr>
          <w:rFonts w:ascii="Times New Roman" w:hAnsi="Times New Roman" w:cs="Times New Roman"/>
          <w:i/>
          <w:sz w:val="24"/>
          <w:szCs w:val="24"/>
        </w:rPr>
        <w:t xml:space="preserve">– 30%.  Зарубежному ученому </w:t>
      </w:r>
      <w:proofErr w:type="spellStart"/>
      <w:proofErr w:type="gramStart"/>
      <w:r w:rsidR="005D0F0C" w:rsidRPr="009E78B1">
        <w:rPr>
          <w:rFonts w:ascii="Times New Roman" w:hAnsi="Times New Roman" w:cs="Times New Roman"/>
          <w:i/>
          <w:sz w:val="24"/>
          <w:szCs w:val="24"/>
        </w:rPr>
        <w:t>м.б</w:t>
      </w:r>
      <w:proofErr w:type="spellEnd"/>
      <w:proofErr w:type="gramEnd"/>
      <w:r w:rsidR="005D0F0C" w:rsidRPr="009E78B1">
        <w:rPr>
          <w:rFonts w:ascii="Times New Roman" w:hAnsi="Times New Roman" w:cs="Times New Roman"/>
          <w:i/>
          <w:sz w:val="24"/>
          <w:szCs w:val="24"/>
        </w:rPr>
        <w:t>. присвоен статус «высококвалифицированного специалиста»</w:t>
      </w:r>
      <w:r w:rsidR="00E34F4E" w:rsidRPr="009E78B1">
        <w:rPr>
          <w:rFonts w:ascii="Times New Roman" w:hAnsi="Times New Roman" w:cs="Times New Roman"/>
          <w:i/>
          <w:sz w:val="24"/>
          <w:szCs w:val="24"/>
        </w:rPr>
        <w:t xml:space="preserve">. </w:t>
      </w:r>
      <w:proofErr w:type="gramStart"/>
      <w:r w:rsidR="00E34F4E" w:rsidRPr="009E78B1">
        <w:rPr>
          <w:rFonts w:ascii="Times New Roman" w:hAnsi="Times New Roman" w:cs="Times New Roman"/>
          <w:i/>
          <w:sz w:val="24"/>
          <w:szCs w:val="24"/>
        </w:rPr>
        <w:t xml:space="preserve">Высококвалифицированным специалистом (далее - ВКС) признается иностранный гражданин, имеющий опыт работы, навыки или достижения в конкретной области деятельности при условии привлечения его к трудовой деятельности в Российской Федерации и предложения заработной платы (вознаграждения)  в размере не менее </w:t>
      </w:r>
      <w:r w:rsidR="00FB0943">
        <w:rPr>
          <w:rFonts w:ascii="Times New Roman" w:hAnsi="Times New Roman" w:cs="Times New Roman"/>
          <w:i/>
          <w:sz w:val="24"/>
          <w:szCs w:val="24"/>
        </w:rPr>
        <w:t>83</w:t>
      </w:r>
      <w:r w:rsidR="00D50650">
        <w:rPr>
          <w:rFonts w:ascii="Times New Roman" w:hAnsi="Times New Roman" w:cs="Times New Roman"/>
          <w:i/>
          <w:sz w:val="24"/>
          <w:szCs w:val="24"/>
        </w:rPr>
        <w:t xml:space="preserve"> </w:t>
      </w:r>
      <w:r w:rsidR="00FB0943">
        <w:rPr>
          <w:rFonts w:ascii="Times New Roman" w:hAnsi="Times New Roman" w:cs="Times New Roman"/>
          <w:i/>
          <w:sz w:val="24"/>
          <w:szCs w:val="24"/>
        </w:rPr>
        <w:t>500</w:t>
      </w:r>
      <w:r w:rsidR="00E34F4E" w:rsidRPr="009E78B1">
        <w:rPr>
          <w:rFonts w:ascii="Times New Roman" w:hAnsi="Times New Roman" w:cs="Times New Roman"/>
          <w:i/>
          <w:sz w:val="24"/>
          <w:szCs w:val="24"/>
        </w:rPr>
        <w:t xml:space="preserve"> рублей</w:t>
      </w:r>
      <w:r w:rsidR="00FB0943">
        <w:rPr>
          <w:rFonts w:ascii="Times New Roman" w:hAnsi="Times New Roman" w:cs="Times New Roman"/>
          <w:i/>
          <w:sz w:val="24"/>
          <w:szCs w:val="24"/>
        </w:rPr>
        <w:t xml:space="preserve"> в месяц</w:t>
      </w:r>
      <w:r w:rsidR="00E34F4E" w:rsidRPr="009E78B1">
        <w:rPr>
          <w:rFonts w:ascii="Times New Roman" w:hAnsi="Times New Roman" w:cs="Times New Roman"/>
          <w:i/>
          <w:sz w:val="24"/>
          <w:szCs w:val="24"/>
        </w:rPr>
        <w:t xml:space="preserve">, в случае их приглашения для занятия научно-исследовательской или преподавательской деятельностью </w:t>
      </w:r>
      <w:r w:rsidR="00E34F4E" w:rsidRPr="009E78B1">
        <w:rPr>
          <w:rFonts w:ascii="Times New Roman" w:hAnsi="Times New Roman" w:cs="Times New Roman"/>
          <w:i/>
          <w:color w:val="000000" w:themeColor="text1"/>
          <w:sz w:val="24"/>
          <w:szCs w:val="24"/>
        </w:rPr>
        <w:t>имеющими государственную аккредитацию высшими учебными заведениями.</w:t>
      </w:r>
      <w:proofErr w:type="gramEnd"/>
      <w:r w:rsidR="00E34F4E" w:rsidRPr="009E78B1">
        <w:rPr>
          <w:rFonts w:ascii="Times New Roman" w:hAnsi="Times New Roman" w:cs="Times New Roman"/>
          <w:i/>
          <w:color w:val="000000" w:themeColor="text1"/>
          <w:sz w:val="24"/>
          <w:szCs w:val="24"/>
        </w:rPr>
        <w:t xml:space="preserve"> В случае присвоения статуса ВКС налог на доход физического лица равен 13 % вне зависимости от сроков пребывания в РФ.</w:t>
      </w:r>
    </w:p>
    <w:p w:rsidR="000464B8" w:rsidRPr="00431BFB" w:rsidRDefault="000464B8" w:rsidP="00BE6180">
      <w:pPr>
        <w:pStyle w:val="a9"/>
        <w:numPr>
          <w:ilvl w:val="0"/>
          <w:numId w:val="8"/>
        </w:numPr>
        <w:jc w:val="both"/>
      </w:pPr>
      <w:r w:rsidRPr="00431BFB">
        <w:t xml:space="preserve">Организация </w:t>
      </w:r>
      <w:r>
        <w:t>проезда</w:t>
      </w:r>
      <w:r w:rsidRPr="00431BFB">
        <w:t xml:space="preserve"> зарубежных ученых в Москв</w:t>
      </w:r>
      <w:r>
        <w:t>у</w:t>
      </w:r>
    </w:p>
    <w:p w:rsidR="000464B8" w:rsidRDefault="000464B8" w:rsidP="00BE6180">
      <w:pPr>
        <w:jc w:val="both"/>
        <w:rPr>
          <w:rFonts w:ascii="Times New Roman" w:hAnsi="Times New Roman" w:cs="Times New Roman"/>
          <w:color w:val="1F497D"/>
          <w:sz w:val="24"/>
          <w:szCs w:val="24"/>
        </w:rPr>
      </w:pPr>
    </w:p>
    <w:p w:rsidR="000464B8" w:rsidRDefault="000464B8" w:rsidP="00BE6180">
      <w:pPr>
        <w:jc w:val="both"/>
        <w:rPr>
          <w:rFonts w:ascii="Times New Roman" w:hAnsi="Times New Roman" w:cs="Times New Roman"/>
          <w:i/>
          <w:color w:val="000000" w:themeColor="text1"/>
          <w:sz w:val="24"/>
          <w:szCs w:val="24"/>
        </w:rPr>
      </w:pPr>
      <w:r w:rsidRPr="00A30550">
        <w:rPr>
          <w:rFonts w:ascii="Times New Roman" w:hAnsi="Times New Roman" w:cs="Times New Roman"/>
          <w:i/>
          <w:color w:val="000000" w:themeColor="text1"/>
          <w:sz w:val="24"/>
          <w:szCs w:val="24"/>
        </w:rPr>
        <w:t xml:space="preserve">Приглашаемые иностранные специалисты, работающие в международной лаборатории,  </w:t>
      </w:r>
      <w:r>
        <w:rPr>
          <w:rFonts w:ascii="Times New Roman" w:hAnsi="Times New Roman" w:cs="Times New Roman"/>
          <w:i/>
          <w:color w:val="000000" w:themeColor="text1"/>
          <w:sz w:val="24"/>
          <w:szCs w:val="24"/>
        </w:rPr>
        <w:t>Оплачивают свой приезд в Россию для работы в МЛ самостоятельно. Эти расходы изначально должны быть обговорены с ведущим ученым и заложены в его оплату труда.</w:t>
      </w:r>
    </w:p>
    <w:p w:rsidR="000464B8" w:rsidRDefault="000464B8" w:rsidP="00BE6180">
      <w:pPr>
        <w:jc w:val="both"/>
        <w:rPr>
          <w:rFonts w:ascii="Times New Roman" w:hAnsi="Times New Roman" w:cs="Times New Roman"/>
          <w:i/>
          <w:sz w:val="24"/>
          <w:szCs w:val="24"/>
        </w:rPr>
      </w:pPr>
    </w:p>
    <w:p w:rsidR="00CB34C9" w:rsidRPr="00431BFB" w:rsidRDefault="00CB34C9" w:rsidP="00BE6180">
      <w:pPr>
        <w:pStyle w:val="a9"/>
        <w:numPr>
          <w:ilvl w:val="0"/>
          <w:numId w:val="8"/>
        </w:numPr>
        <w:jc w:val="both"/>
      </w:pPr>
      <w:r w:rsidRPr="00431BFB">
        <w:t>Организация проживания зарубежных ученых в Москве</w:t>
      </w:r>
    </w:p>
    <w:p w:rsidR="00BB529A" w:rsidRPr="00544A1F" w:rsidRDefault="00CB34C9" w:rsidP="00BE6180">
      <w:pPr>
        <w:jc w:val="both"/>
        <w:rPr>
          <w:rFonts w:ascii="Times New Roman" w:hAnsi="Times New Roman" w:cs="Times New Roman"/>
          <w:i/>
          <w:color w:val="000000" w:themeColor="text1"/>
          <w:sz w:val="24"/>
          <w:szCs w:val="24"/>
        </w:rPr>
      </w:pPr>
      <w:r w:rsidRPr="00A30550">
        <w:rPr>
          <w:rFonts w:ascii="Times New Roman" w:hAnsi="Times New Roman" w:cs="Times New Roman"/>
          <w:i/>
          <w:color w:val="000000" w:themeColor="text1"/>
          <w:sz w:val="24"/>
          <w:szCs w:val="24"/>
        </w:rPr>
        <w:t>Приглашаемые иностранные специалисты</w:t>
      </w:r>
      <w:r w:rsidR="006D6F3C" w:rsidRPr="00A30550">
        <w:rPr>
          <w:rFonts w:ascii="Times New Roman" w:hAnsi="Times New Roman" w:cs="Times New Roman"/>
          <w:i/>
          <w:color w:val="000000" w:themeColor="text1"/>
          <w:sz w:val="24"/>
          <w:szCs w:val="24"/>
        </w:rPr>
        <w:t xml:space="preserve">, работающие в международной лаборатории, </w:t>
      </w:r>
      <w:r w:rsidRPr="00A30550">
        <w:rPr>
          <w:rFonts w:ascii="Times New Roman" w:hAnsi="Times New Roman" w:cs="Times New Roman"/>
          <w:i/>
          <w:color w:val="000000" w:themeColor="text1"/>
          <w:sz w:val="24"/>
          <w:szCs w:val="24"/>
        </w:rPr>
        <w:t xml:space="preserve"> проживают в профессорской гостинице НИУ ВШЭ на безвозмездной основе</w:t>
      </w:r>
      <w:r w:rsidR="006D6F3C" w:rsidRPr="00A30550">
        <w:rPr>
          <w:rFonts w:ascii="Times New Roman" w:hAnsi="Times New Roman" w:cs="Times New Roman"/>
          <w:i/>
          <w:color w:val="000000" w:themeColor="text1"/>
          <w:sz w:val="24"/>
          <w:szCs w:val="24"/>
        </w:rPr>
        <w:t xml:space="preserve">. </w:t>
      </w:r>
      <w:r w:rsidR="00FB0943">
        <w:rPr>
          <w:rFonts w:ascii="Times New Roman" w:hAnsi="Times New Roman" w:cs="Times New Roman"/>
          <w:i/>
          <w:color w:val="000000" w:themeColor="text1"/>
          <w:sz w:val="24"/>
          <w:szCs w:val="24"/>
        </w:rPr>
        <w:t>В случае их пребывания в РФ с членами семьи, расходы по проживанию семьи осуществляются ведущими учеными самостоятельно.</w:t>
      </w:r>
    </w:p>
    <w:p w:rsidR="00544A1F" w:rsidRPr="00544A1F" w:rsidRDefault="00544A1F" w:rsidP="00544A1F">
      <w:pPr>
        <w:pStyle w:val="a9"/>
        <w:numPr>
          <w:ilvl w:val="0"/>
          <w:numId w:val="8"/>
        </w:numPr>
        <w:jc w:val="both"/>
        <w:rPr>
          <w:color w:val="000000" w:themeColor="text1"/>
        </w:rPr>
      </w:pPr>
      <w:r w:rsidRPr="00544A1F">
        <w:rPr>
          <w:color w:val="000000" w:themeColor="text1"/>
        </w:rPr>
        <w:t>Какая информация должна содержаться в письме о согласии организации, в которой работает ведущий ученый, на его участие в научном исследовании. В каком виде предоставляется это письмо?</w:t>
      </w:r>
    </w:p>
    <w:p w:rsidR="00544A1F" w:rsidRPr="00544A1F" w:rsidRDefault="00544A1F" w:rsidP="00544A1F">
      <w:pPr>
        <w:ind w:left="360"/>
        <w:jc w:val="both"/>
        <w:rPr>
          <w:color w:val="000000" w:themeColor="text1"/>
        </w:rPr>
      </w:pPr>
    </w:p>
    <w:p w:rsidR="00544A1F" w:rsidRPr="00544A1F" w:rsidRDefault="00544A1F" w:rsidP="00544A1F">
      <w:pPr>
        <w:pStyle w:val="aa"/>
        <w:rPr>
          <w:rFonts w:ascii="Times New Roman" w:hAnsi="Times New Roman" w:cs="Times New Roman"/>
          <w:i/>
          <w:color w:val="000000" w:themeColor="text1"/>
          <w:sz w:val="24"/>
          <w:szCs w:val="24"/>
        </w:rPr>
      </w:pPr>
      <w:r w:rsidRPr="00544A1F">
        <w:rPr>
          <w:rFonts w:ascii="Times New Roman" w:hAnsi="Times New Roman" w:cs="Times New Roman"/>
          <w:i/>
          <w:color w:val="000000" w:themeColor="text1"/>
          <w:sz w:val="24"/>
          <w:szCs w:val="24"/>
        </w:rPr>
        <w:t>В письме о согласии организации, в которой работает ведущий ученый, на его участие в научном исследовании, должна содержаться информация, что работодатель ведущего ученого не возражает, что в случае победы в конкурсе соответствующего проекта ведущий ученый:</w:t>
      </w:r>
    </w:p>
    <w:p w:rsidR="00544A1F" w:rsidRPr="00544A1F" w:rsidRDefault="00544A1F" w:rsidP="00544A1F">
      <w:pPr>
        <w:pStyle w:val="aa"/>
        <w:rPr>
          <w:rFonts w:ascii="Times New Roman" w:hAnsi="Times New Roman" w:cs="Times New Roman"/>
          <w:i/>
          <w:color w:val="000000" w:themeColor="text1"/>
          <w:sz w:val="24"/>
          <w:szCs w:val="24"/>
        </w:rPr>
      </w:pPr>
    </w:p>
    <w:p w:rsidR="00544A1F" w:rsidRPr="00544A1F" w:rsidRDefault="00544A1F" w:rsidP="00544A1F">
      <w:pPr>
        <w:pStyle w:val="aa"/>
        <w:rPr>
          <w:rFonts w:ascii="Times New Roman" w:hAnsi="Times New Roman" w:cs="Times New Roman"/>
          <w:i/>
          <w:color w:val="000000" w:themeColor="text1"/>
          <w:sz w:val="24"/>
          <w:szCs w:val="24"/>
        </w:rPr>
      </w:pPr>
      <w:r w:rsidRPr="00544A1F">
        <w:rPr>
          <w:rFonts w:ascii="Times New Roman" w:hAnsi="Times New Roman" w:cs="Times New Roman"/>
          <w:i/>
          <w:color w:val="000000" w:themeColor="text1"/>
          <w:sz w:val="24"/>
          <w:szCs w:val="24"/>
        </w:rPr>
        <w:t>- возглавит лабораторию в НИУ ВШЭ для проведения научного исследования;</w:t>
      </w:r>
    </w:p>
    <w:p w:rsidR="00544A1F" w:rsidRPr="00544A1F" w:rsidRDefault="00544A1F" w:rsidP="00544A1F">
      <w:pPr>
        <w:pStyle w:val="aa"/>
        <w:rPr>
          <w:rFonts w:ascii="Times New Roman" w:hAnsi="Times New Roman" w:cs="Times New Roman"/>
          <w:i/>
          <w:color w:val="000000" w:themeColor="text1"/>
          <w:sz w:val="24"/>
          <w:szCs w:val="24"/>
        </w:rPr>
      </w:pPr>
      <w:r w:rsidRPr="00544A1F">
        <w:rPr>
          <w:rFonts w:ascii="Times New Roman" w:hAnsi="Times New Roman" w:cs="Times New Roman"/>
          <w:i/>
          <w:color w:val="000000" w:themeColor="text1"/>
          <w:sz w:val="24"/>
          <w:szCs w:val="24"/>
        </w:rPr>
        <w:t>- будет лично присутствовать в НИУ ВШЭ для очного руководства научными исследованиями не менее 45 рабочих дней ежегодно на протяжении 2017-2019 годов.</w:t>
      </w:r>
    </w:p>
    <w:p w:rsidR="00544A1F" w:rsidRPr="00544A1F" w:rsidRDefault="00544A1F" w:rsidP="00BE6180">
      <w:pPr>
        <w:jc w:val="both"/>
        <w:rPr>
          <w:rFonts w:ascii="Times New Roman" w:hAnsi="Times New Roman" w:cs="Times New Roman"/>
          <w:i/>
          <w:color w:val="000000" w:themeColor="text1"/>
          <w:sz w:val="24"/>
          <w:szCs w:val="24"/>
        </w:rPr>
      </w:pPr>
      <w:r w:rsidRPr="00544A1F">
        <w:rPr>
          <w:rFonts w:ascii="Times New Roman" w:hAnsi="Times New Roman" w:cs="Times New Roman"/>
          <w:i/>
          <w:color w:val="000000" w:themeColor="text1"/>
          <w:sz w:val="24"/>
          <w:szCs w:val="24"/>
        </w:rPr>
        <w:t>Письмо оформляется на официальном бланке организации и должно быть подписано уполномоченным лицом организации, в которой работает ведущий ученый. К заявке на Конкурс достаточно приложить скан-копию письма.</w:t>
      </w:r>
    </w:p>
    <w:p w:rsidR="000464B8" w:rsidRDefault="00B73AB3" w:rsidP="00BE6180">
      <w:pPr>
        <w:jc w:val="both"/>
        <w:rPr>
          <w:rFonts w:ascii="Times New Roman" w:hAnsi="Times New Roman" w:cs="Times New Roman"/>
          <w:b/>
          <w:color w:val="000000" w:themeColor="text1"/>
          <w:sz w:val="24"/>
          <w:szCs w:val="24"/>
        </w:rPr>
      </w:pPr>
      <w:r w:rsidRPr="00B73AB3">
        <w:rPr>
          <w:rFonts w:ascii="Times New Roman" w:hAnsi="Times New Roman" w:cs="Times New Roman"/>
          <w:b/>
          <w:color w:val="000000" w:themeColor="text1"/>
          <w:sz w:val="24"/>
          <w:szCs w:val="24"/>
        </w:rPr>
        <w:t>Коллектив МЛ</w:t>
      </w:r>
    </w:p>
    <w:p w:rsidR="000464B8" w:rsidRDefault="000464B8" w:rsidP="00BE6180">
      <w:pPr>
        <w:pStyle w:val="a9"/>
        <w:numPr>
          <w:ilvl w:val="0"/>
          <w:numId w:val="8"/>
        </w:numPr>
        <w:jc w:val="both"/>
      </w:pPr>
      <w:proofErr w:type="gramStart"/>
      <w:r w:rsidRPr="00707CA9">
        <w:t>Возможно</w:t>
      </w:r>
      <w:proofErr w:type="gramEnd"/>
      <w:r w:rsidRPr="00707CA9">
        <w:t xml:space="preserve"> ли создание МЛ как научно-практической</w:t>
      </w:r>
      <w:r w:rsidR="00351615">
        <w:t>?</w:t>
      </w:r>
    </w:p>
    <w:p w:rsidR="000464B8" w:rsidRDefault="000464B8" w:rsidP="00BE6180">
      <w:pPr>
        <w:jc w:val="both"/>
        <w:rPr>
          <w:rFonts w:ascii="Times New Roman" w:hAnsi="Times New Roman" w:cs="Times New Roman"/>
          <w:i/>
          <w:color w:val="000000" w:themeColor="text1"/>
          <w:sz w:val="24"/>
          <w:szCs w:val="24"/>
        </w:rPr>
      </w:pPr>
    </w:p>
    <w:p w:rsidR="000464B8" w:rsidRDefault="000464B8" w:rsidP="00BE6180">
      <w:pPr>
        <w:jc w:val="both"/>
        <w:rPr>
          <w:rFonts w:ascii="Times New Roman" w:hAnsi="Times New Roman" w:cs="Times New Roman"/>
          <w:i/>
          <w:color w:val="000000" w:themeColor="text1"/>
          <w:sz w:val="24"/>
          <w:szCs w:val="24"/>
        </w:rPr>
      </w:pPr>
      <w:r w:rsidRPr="000464B8">
        <w:rPr>
          <w:rFonts w:ascii="Times New Roman" w:hAnsi="Times New Roman" w:cs="Times New Roman"/>
          <w:i/>
          <w:color w:val="000000" w:themeColor="text1"/>
          <w:sz w:val="24"/>
          <w:szCs w:val="24"/>
        </w:rPr>
        <w:t xml:space="preserve">Конкурс больше направлен на </w:t>
      </w:r>
      <w:r w:rsidRPr="000464B8">
        <w:rPr>
          <w:rFonts w:ascii="Times New Roman" w:hAnsi="Times New Roman" w:cs="Times New Roman"/>
          <w:i/>
          <w:color w:val="000000" w:themeColor="text1"/>
          <w:sz w:val="24"/>
          <w:szCs w:val="24"/>
          <w:u w:val="single"/>
        </w:rPr>
        <w:t>фундаментальные научные исследования</w:t>
      </w:r>
      <w:r w:rsidRPr="000464B8">
        <w:rPr>
          <w:rFonts w:ascii="Times New Roman" w:hAnsi="Times New Roman" w:cs="Times New Roman"/>
          <w:i/>
          <w:color w:val="000000" w:themeColor="text1"/>
          <w:sz w:val="24"/>
          <w:szCs w:val="24"/>
        </w:rPr>
        <w:t xml:space="preserve"> и соответствующие публикации</w:t>
      </w:r>
    </w:p>
    <w:p w:rsidR="00C96903" w:rsidRPr="00C96903" w:rsidRDefault="00C96903" w:rsidP="00C96903">
      <w:pPr>
        <w:pStyle w:val="a9"/>
        <w:numPr>
          <w:ilvl w:val="0"/>
          <w:numId w:val="8"/>
        </w:numPr>
        <w:jc w:val="both"/>
        <w:rPr>
          <w:color w:val="000000" w:themeColor="text1"/>
        </w:rPr>
      </w:pPr>
      <w:r w:rsidRPr="00C96903">
        <w:rPr>
          <w:color w:val="000000" w:themeColor="text1"/>
        </w:rPr>
        <w:t>Может ли создаваемая лаборатория быть самостоятельным научным подразделением, или она должна быть при каком-т факультете / департаменте/ школе?</w:t>
      </w:r>
    </w:p>
    <w:p w:rsidR="00C96903" w:rsidRDefault="00C96903" w:rsidP="00BE6180">
      <w:pPr>
        <w:jc w:val="both"/>
        <w:rPr>
          <w:rFonts w:ascii="Times New Roman" w:hAnsi="Times New Roman" w:cs="Times New Roman"/>
          <w:i/>
          <w:color w:val="000000" w:themeColor="text1"/>
          <w:sz w:val="24"/>
          <w:szCs w:val="24"/>
        </w:rPr>
      </w:pPr>
    </w:p>
    <w:p w:rsidR="00C96903" w:rsidRPr="009661A5" w:rsidRDefault="00C96903" w:rsidP="00BE618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Возможны три варианта: МЛ при факультете/ департаменте / школе, МЛ как ассоциированное подразделение и как самостоятельное подразделение. Какую организационную структуру выбрать, решает инициатор заявки. В Концепции МЛ (форма 4) необходимо будет отразить этот выбор.</w:t>
      </w:r>
    </w:p>
    <w:p w:rsidR="009661A5" w:rsidRPr="009661A5" w:rsidRDefault="009661A5" w:rsidP="009661A5">
      <w:pPr>
        <w:pStyle w:val="a9"/>
        <w:numPr>
          <w:ilvl w:val="0"/>
          <w:numId w:val="8"/>
        </w:numPr>
        <w:jc w:val="both"/>
      </w:pPr>
      <w:r w:rsidRPr="009661A5">
        <w:t>Возможна ли занятость заведующего МЛ в лаборатории на 0,5 ставки (и ниже)?</w:t>
      </w:r>
    </w:p>
    <w:p w:rsidR="009661A5" w:rsidRDefault="009661A5" w:rsidP="00BE6180">
      <w:pPr>
        <w:jc w:val="both"/>
        <w:rPr>
          <w:rFonts w:ascii="Times New Roman" w:hAnsi="Times New Roman" w:cs="Times New Roman"/>
          <w:i/>
          <w:color w:val="000000" w:themeColor="text1"/>
          <w:sz w:val="24"/>
          <w:szCs w:val="24"/>
        </w:rPr>
      </w:pPr>
    </w:p>
    <w:p w:rsidR="009661A5" w:rsidRPr="009661A5" w:rsidRDefault="009661A5" w:rsidP="00BE6180">
      <w:pPr>
        <w:jc w:val="both"/>
        <w:rPr>
          <w:rFonts w:ascii="Times New Roman" w:hAnsi="Times New Roman" w:cs="Times New Roman"/>
          <w:i/>
          <w:color w:val="000000" w:themeColor="text1"/>
          <w:sz w:val="24"/>
          <w:szCs w:val="24"/>
        </w:rPr>
      </w:pPr>
      <w:r w:rsidRPr="009661A5">
        <w:rPr>
          <w:rFonts w:ascii="Times New Roman" w:hAnsi="Times New Roman" w:cs="Times New Roman"/>
          <w:i/>
          <w:color w:val="000000" w:themeColor="text1"/>
          <w:sz w:val="24"/>
          <w:szCs w:val="24"/>
        </w:rPr>
        <w:t>Нет</w:t>
      </w:r>
      <w:r>
        <w:rPr>
          <w:rFonts w:ascii="Times New Roman" w:hAnsi="Times New Roman" w:cs="Times New Roman"/>
          <w:i/>
          <w:color w:val="000000" w:themeColor="text1"/>
          <w:sz w:val="24"/>
          <w:szCs w:val="24"/>
        </w:rPr>
        <w:t xml:space="preserve">, </w:t>
      </w:r>
      <w:r w:rsidRPr="009661A5">
        <w:rPr>
          <w:rFonts w:ascii="Times New Roman" w:hAnsi="Times New Roman" w:cs="Times New Roman"/>
          <w:i/>
          <w:color w:val="000000" w:themeColor="text1"/>
          <w:sz w:val="24"/>
          <w:szCs w:val="24"/>
        </w:rPr>
        <w:t>для заведующего МЛ, в случае победы заявки в Конкурсе, НИУ ВШЭ является основным местом работы. Заведующий МЛ должен быть оформлен в МЛ НИУ ВШЭ на полную ставку по основному месту работы</w:t>
      </w:r>
    </w:p>
    <w:p w:rsidR="00905AD3" w:rsidRPr="00905AD3" w:rsidRDefault="00905AD3" w:rsidP="00BE6180">
      <w:pPr>
        <w:pStyle w:val="a9"/>
        <w:numPr>
          <w:ilvl w:val="0"/>
          <w:numId w:val="8"/>
        </w:numPr>
        <w:jc w:val="both"/>
      </w:pPr>
      <w:r w:rsidRPr="00905AD3">
        <w:t>Возможно ли привлечение к работе в МЛ внешних совместителей?</w:t>
      </w:r>
    </w:p>
    <w:p w:rsidR="00905AD3" w:rsidRDefault="00905AD3" w:rsidP="00BE6180">
      <w:pPr>
        <w:pStyle w:val="a9"/>
        <w:jc w:val="both"/>
        <w:rPr>
          <w:rFonts w:ascii="Tahoma" w:hAnsi="Tahoma" w:cs="Tahoma"/>
          <w:color w:val="000000"/>
          <w:sz w:val="20"/>
          <w:szCs w:val="20"/>
        </w:rPr>
      </w:pPr>
    </w:p>
    <w:p w:rsidR="008C3FE8" w:rsidRPr="008C3FE8" w:rsidRDefault="008C3FE8" w:rsidP="00BE618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Формальных препятствий к этому в конкурсной документации нет. </w:t>
      </w:r>
      <w:r w:rsidRPr="008C3FE8">
        <w:rPr>
          <w:rFonts w:ascii="Times New Roman" w:hAnsi="Times New Roman" w:cs="Times New Roman"/>
          <w:i/>
          <w:color w:val="000000" w:themeColor="text1"/>
          <w:sz w:val="24"/>
          <w:szCs w:val="24"/>
        </w:rPr>
        <w:t xml:space="preserve">Привлечение внешних совместителей возможно, но </w:t>
      </w:r>
      <w:r>
        <w:rPr>
          <w:rFonts w:ascii="Times New Roman" w:hAnsi="Times New Roman" w:cs="Times New Roman"/>
          <w:i/>
          <w:color w:val="000000" w:themeColor="text1"/>
          <w:sz w:val="24"/>
          <w:szCs w:val="24"/>
        </w:rPr>
        <w:t>эксперты будут отдавать предпочтение коллективам, в которых больше штатных сотрудников</w:t>
      </w:r>
      <w:r w:rsidRPr="008C3FE8">
        <w:rPr>
          <w:rFonts w:ascii="Times New Roman" w:hAnsi="Times New Roman" w:cs="Times New Roman"/>
          <w:i/>
          <w:color w:val="000000" w:themeColor="text1"/>
          <w:sz w:val="24"/>
          <w:szCs w:val="24"/>
        </w:rPr>
        <w:t>. В любом случае, необходимо соблюсти следующие требования конкурсной документации:</w:t>
      </w:r>
    </w:p>
    <w:p w:rsidR="008C3FE8" w:rsidRPr="008C3FE8" w:rsidRDefault="008C3FE8" w:rsidP="00BE6180">
      <w:pPr>
        <w:pStyle w:val="a9"/>
        <w:numPr>
          <w:ilvl w:val="1"/>
          <w:numId w:val="11"/>
        </w:numPr>
        <w:jc w:val="both"/>
        <w:rPr>
          <w:rFonts w:eastAsiaTheme="minorHAnsi"/>
          <w:i/>
          <w:color w:val="000000" w:themeColor="text1"/>
          <w:lang w:eastAsia="en-US"/>
        </w:rPr>
      </w:pPr>
      <w:r w:rsidRPr="008C3FE8">
        <w:rPr>
          <w:rFonts w:eastAsiaTheme="minorHAnsi"/>
          <w:i/>
          <w:color w:val="000000" w:themeColor="text1"/>
          <w:lang w:eastAsia="en-US"/>
        </w:rPr>
        <w:t>П. 4.4.1. в состав научного коллектива, формируемого ведущим ученым для проведения научного исследования, должно входить не менее двух докторов наук/ кандидатов наук/ PhD, работающих в НИУ ВШЭ на полную ставку по основному месту работы, и не менее 3 аспирантов НИУ ВШЭ / студентов НИУ ВШЭ. Замена членов научного коллектива допускается в исключительных случаях по согласованию с  проректором, координирующим деятельность НИУ ВШЭ в области проведения фундаментальных научных исследований, а также научных исследований, осуществляемых в соответствии с государственным заданием;</w:t>
      </w:r>
    </w:p>
    <w:p w:rsidR="008C3FE8" w:rsidRPr="008C3FE8" w:rsidRDefault="008C3FE8" w:rsidP="00BE6180">
      <w:pPr>
        <w:pStyle w:val="a9"/>
        <w:numPr>
          <w:ilvl w:val="1"/>
          <w:numId w:val="11"/>
        </w:numPr>
        <w:jc w:val="both"/>
        <w:rPr>
          <w:rFonts w:eastAsiaTheme="minorHAnsi"/>
          <w:i/>
          <w:color w:val="000000" w:themeColor="text1"/>
          <w:lang w:eastAsia="en-US"/>
        </w:rPr>
      </w:pPr>
      <w:r w:rsidRPr="008C3FE8">
        <w:rPr>
          <w:rFonts w:eastAsiaTheme="minorHAnsi"/>
          <w:i/>
          <w:color w:val="000000" w:themeColor="text1"/>
          <w:lang w:eastAsia="en-US"/>
        </w:rPr>
        <w:t>П. 4.4.3. число членов научного коллектива планируемой МЛ, которые в случае победы заявки в конкурсе перейдут на работу в МЛ на условиях их работы в МЛ по основному месту работы в должности не ниже научного сотрудника, должно быть не менее двух</w:t>
      </w:r>
    </w:p>
    <w:p w:rsidR="00905AD3" w:rsidRDefault="00905AD3" w:rsidP="00BE6180">
      <w:pPr>
        <w:pStyle w:val="a9"/>
        <w:jc w:val="both"/>
        <w:rPr>
          <w:rFonts w:ascii="Tahoma" w:hAnsi="Tahoma" w:cs="Tahoma"/>
          <w:color w:val="000000"/>
          <w:sz w:val="20"/>
          <w:szCs w:val="20"/>
        </w:rPr>
      </w:pPr>
    </w:p>
    <w:p w:rsidR="00905AD3" w:rsidRDefault="00905AD3" w:rsidP="00BE6180">
      <w:pPr>
        <w:pStyle w:val="a9"/>
        <w:numPr>
          <w:ilvl w:val="0"/>
          <w:numId w:val="8"/>
        </w:numPr>
        <w:jc w:val="both"/>
      </w:pPr>
      <w:r>
        <w:t>Привлекаемые к работе в МЛ с</w:t>
      </w:r>
      <w:r w:rsidRPr="00905AD3">
        <w:t>туденты должны оформляться на весь срок работы МЛ (3 года)</w:t>
      </w:r>
      <w:r>
        <w:t>,</w:t>
      </w:r>
      <w:r w:rsidRPr="00905AD3">
        <w:t xml:space="preserve"> или на срок выполнения конкретных работ в рамках научного исследования</w:t>
      </w:r>
      <w:r w:rsidR="00351615">
        <w:t>?</w:t>
      </w:r>
    </w:p>
    <w:p w:rsidR="008C3FE8" w:rsidRPr="008C3FE8" w:rsidRDefault="008C3FE8" w:rsidP="00BE6180">
      <w:pPr>
        <w:pStyle w:val="a9"/>
        <w:ind w:left="720"/>
        <w:jc w:val="both"/>
        <w:rPr>
          <w:rFonts w:eastAsiaTheme="minorHAnsi"/>
          <w:i/>
          <w:color w:val="000000" w:themeColor="text1"/>
          <w:lang w:eastAsia="en-US"/>
        </w:rPr>
      </w:pPr>
    </w:p>
    <w:p w:rsidR="008C3FE8" w:rsidRPr="00B67F4B" w:rsidRDefault="008C3FE8" w:rsidP="00BE6180">
      <w:pPr>
        <w:ind w:left="360"/>
        <w:jc w:val="both"/>
        <w:rPr>
          <w:rFonts w:ascii="Times New Roman" w:hAnsi="Times New Roman" w:cs="Times New Roman"/>
          <w:i/>
          <w:color w:val="000000" w:themeColor="text1"/>
          <w:sz w:val="24"/>
          <w:szCs w:val="24"/>
        </w:rPr>
      </w:pPr>
      <w:r w:rsidRPr="008C3FE8">
        <w:rPr>
          <w:rFonts w:ascii="Times New Roman" w:hAnsi="Times New Roman" w:cs="Times New Roman"/>
          <w:i/>
          <w:color w:val="000000" w:themeColor="text1"/>
          <w:sz w:val="24"/>
          <w:szCs w:val="24"/>
        </w:rPr>
        <w:t>Студенты могут быть оформлены на вест срок реализации проекта, могут быть оформлены на определенные этапы проводимого научного исследования. Решение о продолжительности трудового договора, заключаемого со студентами, принимает заведующий МЛ.</w:t>
      </w:r>
    </w:p>
    <w:p w:rsidR="00B67F4B" w:rsidRPr="00B67F4B" w:rsidRDefault="00B67F4B" w:rsidP="00B67F4B">
      <w:pPr>
        <w:pStyle w:val="a9"/>
        <w:numPr>
          <w:ilvl w:val="0"/>
          <w:numId w:val="8"/>
        </w:numPr>
        <w:jc w:val="both"/>
        <w:rPr>
          <w:i/>
          <w:color w:val="000000" w:themeColor="text1"/>
        </w:rPr>
      </w:pPr>
      <w:r>
        <w:rPr>
          <w:color w:val="000000"/>
          <w:sz w:val="26"/>
          <w:szCs w:val="26"/>
        </w:rPr>
        <w:t>Предусмотрены ли какие-то нормативы оплаты труда</w:t>
      </w:r>
    </w:p>
    <w:p w:rsidR="00B67F4B" w:rsidRPr="00B67F4B" w:rsidRDefault="00B67F4B" w:rsidP="00B67F4B">
      <w:pPr>
        <w:ind w:left="426"/>
        <w:jc w:val="both"/>
        <w:rPr>
          <w:rFonts w:ascii="Times New Roman" w:hAnsi="Times New Roman" w:cs="Times New Roman"/>
          <w:i/>
          <w:color w:val="000000" w:themeColor="text1"/>
          <w:sz w:val="24"/>
          <w:szCs w:val="24"/>
        </w:rPr>
      </w:pPr>
      <w:r w:rsidRPr="00B67F4B">
        <w:rPr>
          <w:rFonts w:ascii="Times New Roman" w:hAnsi="Times New Roman" w:cs="Times New Roman"/>
          <w:i/>
          <w:color w:val="000000" w:themeColor="text1"/>
          <w:sz w:val="24"/>
          <w:szCs w:val="24"/>
        </w:rPr>
        <w:t>Перед началом реализации проекта каждая победившая в конкурсе международная лаборатория представит на утверждение Комитета по организации деятельности МЛ проект лимитов по оплате труда своих сотрудников, занимающих ту или иную научную должность. При этом для оплаты труда одинаковых должностей применяется один и тот же лимит</w:t>
      </w:r>
    </w:p>
    <w:p w:rsidR="000464B8" w:rsidRPr="000464B8" w:rsidRDefault="000464B8" w:rsidP="00BE6180">
      <w:pPr>
        <w:pStyle w:val="a9"/>
        <w:numPr>
          <w:ilvl w:val="0"/>
          <w:numId w:val="8"/>
        </w:numPr>
        <w:jc w:val="both"/>
        <w:rPr>
          <w:color w:val="000000"/>
        </w:rPr>
      </w:pPr>
      <w:r w:rsidRPr="000464B8">
        <w:rPr>
          <w:color w:val="000000"/>
        </w:rPr>
        <w:t>Кто обеспечивает наем менеджера и как оплачивается его работа - из бюджета лаборатории или отдельной строкой</w:t>
      </w:r>
    </w:p>
    <w:p w:rsidR="000464B8" w:rsidRDefault="000464B8" w:rsidP="00BE6180">
      <w:pPr>
        <w:jc w:val="both"/>
        <w:rPr>
          <w:rFonts w:ascii="Times New Roman" w:hAnsi="Times New Roman" w:cs="Times New Roman"/>
          <w:i/>
          <w:color w:val="000000" w:themeColor="text1"/>
          <w:sz w:val="24"/>
          <w:szCs w:val="24"/>
        </w:rPr>
      </w:pPr>
    </w:p>
    <w:p w:rsidR="000464B8" w:rsidRPr="000464B8" w:rsidRDefault="00136304" w:rsidP="00B67F4B">
      <w:pPr>
        <w:ind w:left="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Менеджер лаборатории должен быть штатным сотрудником МЛ и работать в ней на полную ставку, наем менеджера осуществляет МЛ, оплата труда менеджера осуществляется </w:t>
      </w:r>
      <w:r w:rsidR="000464B8" w:rsidRPr="000464B8">
        <w:rPr>
          <w:rFonts w:ascii="Times New Roman" w:hAnsi="Times New Roman" w:cs="Times New Roman"/>
          <w:i/>
          <w:color w:val="000000" w:themeColor="text1"/>
          <w:sz w:val="24"/>
          <w:szCs w:val="24"/>
        </w:rPr>
        <w:t>из средств МЛ</w:t>
      </w:r>
    </w:p>
    <w:p w:rsidR="000464B8" w:rsidRDefault="00B73AB3" w:rsidP="00BE6180">
      <w:pPr>
        <w:jc w:val="both"/>
        <w:rPr>
          <w:rFonts w:ascii="Times New Roman" w:hAnsi="Times New Roman" w:cs="Times New Roman"/>
          <w:b/>
          <w:color w:val="000000" w:themeColor="text1"/>
          <w:sz w:val="24"/>
          <w:szCs w:val="24"/>
        </w:rPr>
      </w:pPr>
      <w:r w:rsidRPr="00B73AB3">
        <w:rPr>
          <w:rFonts w:ascii="Times New Roman" w:hAnsi="Times New Roman" w:cs="Times New Roman"/>
          <w:b/>
          <w:color w:val="000000" w:themeColor="text1"/>
          <w:sz w:val="24"/>
          <w:szCs w:val="24"/>
        </w:rPr>
        <w:t>Показатели МЛ</w:t>
      </w:r>
    </w:p>
    <w:p w:rsidR="00B73AB3" w:rsidRPr="00B73AB3" w:rsidRDefault="00B73AB3" w:rsidP="00BE6180">
      <w:pPr>
        <w:pStyle w:val="a9"/>
        <w:numPr>
          <w:ilvl w:val="0"/>
          <w:numId w:val="8"/>
        </w:numPr>
        <w:jc w:val="both"/>
        <w:rPr>
          <w:b/>
          <w:color w:val="000000" w:themeColor="text1"/>
        </w:rPr>
      </w:pPr>
      <w:r>
        <w:lastRenderedPageBreak/>
        <w:t>Какое минимальное количество обязательных публикаций по проекту мы должны указать в соответствии с требованиями КД</w:t>
      </w:r>
      <w:r w:rsidR="00351615">
        <w:t>?</w:t>
      </w:r>
    </w:p>
    <w:p w:rsidR="00B73AB3" w:rsidRDefault="00B73AB3" w:rsidP="00BE6180">
      <w:pPr>
        <w:jc w:val="both"/>
        <w:rPr>
          <w:b/>
          <w:color w:val="000000" w:themeColor="text1"/>
        </w:rPr>
      </w:pPr>
    </w:p>
    <w:p w:rsidR="00B73AB3" w:rsidRDefault="00B73AB3" w:rsidP="00B67F4B">
      <w:pPr>
        <w:ind w:left="426"/>
        <w:jc w:val="both"/>
        <w:rPr>
          <w:b/>
          <w:color w:val="000000" w:themeColor="text1"/>
        </w:rPr>
      </w:pPr>
      <w:r w:rsidRPr="00B73AB3">
        <w:rPr>
          <w:rFonts w:ascii="Times New Roman" w:hAnsi="Times New Roman" w:cs="Times New Roman"/>
          <w:i/>
          <w:color w:val="000000" w:themeColor="text1"/>
          <w:sz w:val="24"/>
          <w:szCs w:val="24"/>
        </w:rPr>
        <w:t xml:space="preserve">Количество публикаций в показателях эффективности определяет инициатор заявки. </w:t>
      </w:r>
      <w:proofErr w:type="gramStart"/>
      <w:r w:rsidRPr="00B73AB3">
        <w:rPr>
          <w:rFonts w:ascii="Times New Roman" w:hAnsi="Times New Roman" w:cs="Times New Roman"/>
          <w:i/>
          <w:color w:val="000000" w:themeColor="text1"/>
          <w:sz w:val="24"/>
          <w:szCs w:val="24"/>
        </w:rPr>
        <w:t xml:space="preserve">Обязательный минимум указан  в документе под названием "План реализации мероприятий ППК на 2015 - 20 гг."  (можно найти на странице Программы повышения </w:t>
      </w:r>
      <w:proofErr w:type="spellStart"/>
      <w:r w:rsidRPr="00B73AB3">
        <w:rPr>
          <w:rFonts w:ascii="Times New Roman" w:hAnsi="Times New Roman" w:cs="Times New Roman"/>
          <w:i/>
          <w:color w:val="000000" w:themeColor="text1"/>
          <w:sz w:val="24"/>
          <w:szCs w:val="24"/>
        </w:rPr>
        <w:t>конкурентноспособности</w:t>
      </w:r>
      <w:proofErr w:type="spellEnd"/>
      <w:r w:rsidRPr="00B73AB3">
        <w:rPr>
          <w:rFonts w:ascii="Times New Roman" w:hAnsi="Times New Roman" w:cs="Times New Roman"/>
          <w:i/>
          <w:color w:val="000000" w:themeColor="text1"/>
          <w:sz w:val="24"/>
          <w:szCs w:val="24"/>
        </w:rPr>
        <w:t xml:space="preserve"> НИУ ВШЭ</w:t>
      </w:r>
      <w:r>
        <w:t xml:space="preserve">  (</w:t>
      </w:r>
      <w:hyperlink r:id="rId10" w:history="1">
        <w:r>
          <w:rPr>
            <w:rStyle w:val="a4"/>
          </w:rPr>
          <w:t>https://strategy.hse.ru/ppk_doc</w:t>
        </w:r>
      </w:hyperlink>
      <w:r>
        <w:t>)</w:t>
      </w:r>
      <w:r>
        <w:rPr>
          <w:b/>
          <w:color w:val="000000" w:themeColor="text1"/>
        </w:rPr>
        <w:t xml:space="preserve">  </w:t>
      </w:r>
      <w:proofErr w:type="gramEnd"/>
    </w:p>
    <w:tbl>
      <w:tblPr>
        <w:tblW w:w="51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4678"/>
        <w:gridCol w:w="866"/>
        <w:gridCol w:w="1136"/>
        <w:gridCol w:w="1136"/>
        <w:gridCol w:w="1127"/>
        <w:gridCol w:w="6"/>
        <w:gridCol w:w="1130"/>
        <w:gridCol w:w="1283"/>
        <w:gridCol w:w="1133"/>
        <w:gridCol w:w="1136"/>
        <w:gridCol w:w="1108"/>
      </w:tblGrid>
      <w:tr w:rsidR="00B73AB3" w:rsidRPr="0037168D" w:rsidTr="00934040">
        <w:trPr>
          <w:tblHeader/>
        </w:trPr>
        <w:tc>
          <w:tcPr>
            <w:tcW w:w="186" w:type="pct"/>
            <w:vMerge w:val="restart"/>
            <w:shd w:val="clear" w:color="auto" w:fill="auto"/>
            <w:vAlign w:val="center"/>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w:t>
            </w:r>
          </w:p>
        </w:tc>
        <w:tc>
          <w:tcPr>
            <w:tcW w:w="1528" w:type="pct"/>
            <w:vMerge w:val="restart"/>
            <w:shd w:val="clear" w:color="auto" w:fill="auto"/>
            <w:vAlign w:val="center"/>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Наименование показателя</w:t>
            </w:r>
          </w:p>
        </w:tc>
        <w:tc>
          <w:tcPr>
            <w:tcW w:w="283" w:type="pct"/>
            <w:vMerge w:val="restart"/>
            <w:shd w:val="clear" w:color="auto" w:fill="auto"/>
            <w:vAlign w:val="center"/>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 xml:space="preserve">Ед. </w:t>
            </w:r>
            <w:proofErr w:type="spellStart"/>
            <w:proofErr w:type="gramStart"/>
            <w:r w:rsidRPr="0037168D">
              <w:rPr>
                <w:rFonts w:ascii="Times New Roman" w:hAnsi="Times New Roman"/>
                <w:b/>
                <w:szCs w:val="24"/>
              </w:rPr>
              <w:t>изме</w:t>
            </w:r>
            <w:proofErr w:type="spellEnd"/>
            <w:r w:rsidRPr="0037168D">
              <w:rPr>
                <w:rFonts w:ascii="Times New Roman" w:hAnsi="Times New Roman"/>
                <w:b/>
                <w:szCs w:val="24"/>
              </w:rPr>
              <w:t>-рения</w:t>
            </w:r>
            <w:proofErr w:type="gramEnd"/>
          </w:p>
        </w:tc>
        <w:tc>
          <w:tcPr>
            <w:tcW w:w="3003" w:type="pct"/>
            <w:gridSpan w:val="9"/>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Прогнозная динамика показателя</w:t>
            </w:r>
          </w:p>
        </w:tc>
      </w:tr>
      <w:tr w:rsidR="00B73AB3" w:rsidRPr="0037168D" w:rsidTr="00934040">
        <w:trPr>
          <w:tblHeader/>
        </w:trPr>
        <w:tc>
          <w:tcPr>
            <w:tcW w:w="186" w:type="pct"/>
            <w:vMerge/>
            <w:shd w:val="clear" w:color="auto" w:fill="auto"/>
          </w:tcPr>
          <w:p w:rsidR="00B73AB3" w:rsidRPr="0037168D" w:rsidRDefault="00B73AB3" w:rsidP="00BE6180">
            <w:pPr>
              <w:spacing w:after="0" w:line="240" w:lineRule="auto"/>
              <w:jc w:val="both"/>
              <w:rPr>
                <w:rFonts w:ascii="Times New Roman" w:hAnsi="Times New Roman"/>
                <w:szCs w:val="24"/>
              </w:rPr>
            </w:pPr>
          </w:p>
        </w:tc>
        <w:tc>
          <w:tcPr>
            <w:tcW w:w="1528" w:type="pct"/>
            <w:vMerge/>
            <w:shd w:val="clear" w:color="auto" w:fill="auto"/>
          </w:tcPr>
          <w:p w:rsidR="00B73AB3" w:rsidRPr="0037168D" w:rsidRDefault="00B73AB3" w:rsidP="00BE6180">
            <w:pPr>
              <w:spacing w:after="0" w:line="240" w:lineRule="auto"/>
              <w:jc w:val="both"/>
              <w:rPr>
                <w:rFonts w:ascii="Times New Roman" w:hAnsi="Times New Roman"/>
                <w:szCs w:val="24"/>
              </w:rPr>
            </w:pPr>
          </w:p>
        </w:tc>
        <w:tc>
          <w:tcPr>
            <w:tcW w:w="283" w:type="pct"/>
            <w:vMerge/>
            <w:shd w:val="clear" w:color="auto" w:fill="auto"/>
          </w:tcPr>
          <w:p w:rsidR="00B73AB3" w:rsidRPr="0037168D" w:rsidRDefault="00B73AB3" w:rsidP="00BE6180">
            <w:pPr>
              <w:spacing w:after="0" w:line="240" w:lineRule="auto"/>
              <w:jc w:val="both"/>
              <w:rPr>
                <w:rFonts w:ascii="Times New Roman" w:hAnsi="Times New Roman"/>
                <w:szCs w:val="24"/>
              </w:rPr>
            </w:pPr>
          </w:p>
        </w:tc>
        <w:tc>
          <w:tcPr>
            <w:tcW w:w="371"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2013</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(факт)</w:t>
            </w:r>
          </w:p>
        </w:tc>
        <w:tc>
          <w:tcPr>
            <w:tcW w:w="371"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2014</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(факт)</w:t>
            </w:r>
          </w:p>
        </w:tc>
        <w:tc>
          <w:tcPr>
            <w:tcW w:w="370" w:type="pct"/>
            <w:gridSpan w:val="2"/>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2015</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(план)</w:t>
            </w:r>
          </w:p>
        </w:tc>
        <w:tc>
          <w:tcPr>
            <w:tcW w:w="369"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2016</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(план)</w:t>
            </w:r>
          </w:p>
        </w:tc>
        <w:tc>
          <w:tcPr>
            <w:tcW w:w="419"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2017</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(план)</w:t>
            </w:r>
          </w:p>
        </w:tc>
        <w:tc>
          <w:tcPr>
            <w:tcW w:w="370"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2018</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(план)</w:t>
            </w:r>
          </w:p>
        </w:tc>
        <w:tc>
          <w:tcPr>
            <w:tcW w:w="371"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2019</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(план)</w:t>
            </w:r>
          </w:p>
        </w:tc>
        <w:tc>
          <w:tcPr>
            <w:tcW w:w="362" w:type="pct"/>
            <w:shd w:val="clear" w:color="auto" w:fill="auto"/>
          </w:tcPr>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2020</w:t>
            </w:r>
          </w:p>
          <w:p w:rsidR="00B73AB3" w:rsidRPr="0037168D" w:rsidRDefault="00B73AB3" w:rsidP="00BE6180">
            <w:pPr>
              <w:spacing w:after="0" w:line="240" w:lineRule="auto"/>
              <w:jc w:val="both"/>
              <w:rPr>
                <w:rFonts w:ascii="Times New Roman" w:hAnsi="Times New Roman"/>
                <w:b/>
                <w:szCs w:val="24"/>
              </w:rPr>
            </w:pPr>
            <w:r w:rsidRPr="0037168D">
              <w:rPr>
                <w:rFonts w:ascii="Times New Roman" w:hAnsi="Times New Roman"/>
                <w:b/>
                <w:szCs w:val="24"/>
              </w:rPr>
              <w:t>(план)</w:t>
            </w:r>
          </w:p>
        </w:tc>
      </w:tr>
      <w:tr w:rsidR="00B73AB3" w:rsidRPr="0037168D" w:rsidTr="00934040">
        <w:tc>
          <w:tcPr>
            <w:tcW w:w="186" w:type="pct"/>
            <w:shd w:val="clear" w:color="auto" w:fill="auto"/>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2.</w:t>
            </w:r>
          </w:p>
        </w:tc>
        <w:tc>
          <w:tcPr>
            <w:tcW w:w="1528" w:type="pct"/>
            <w:shd w:val="clear" w:color="auto" w:fill="auto"/>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 xml:space="preserve">Количество </w:t>
            </w:r>
            <w:r w:rsidRPr="00774FE1">
              <w:rPr>
                <w:rFonts w:ascii="Times New Roman" w:hAnsi="Times New Roman"/>
                <w:szCs w:val="24"/>
              </w:rPr>
              <w:t>статей</w:t>
            </w:r>
            <w:r w:rsidRPr="0037168D">
              <w:rPr>
                <w:rFonts w:ascii="Times New Roman" w:hAnsi="Times New Roman"/>
                <w:szCs w:val="24"/>
              </w:rPr>
              <w:t xml:space="preserve"> в базах данных </w:t>
            </w:r>
            <w:proofErr w:type="spellStart"/>
            <w:r w:rsidRPr="0037168D">
              <w:rPr>
                <w:rFonts w:ascii="Times New Roman" w:hAnsi="Times New Roman"/>
                <w:szCs w:val="24"/>
              </w:rPr>
              <w:t>Web</w:t>
            </w:r>
            <w:proofErr w:type="spellEnd"/>
            <w:r w:rsidRPr="0037168D">
              <w:rPr>
                <w:rFonts w:ascii="Times New Roman" w:hAnsi="Times New Roman"/>
                <w:szCs w:val="24"/>
              </w:rPr>
              <w:t xml:space="preserve"> of </w:t>
            </w:r>
            <w:proofErr w:type="spellStart"/>
            <w:r w:rsidRPr="0037168D">
              <w:rPr>
                <w:rFonts w:ascii="Times New Roman" w:hAnsi="Times New Roman"/>
                <w:szCs w:val="24"/>
              </w:rPr>
              <w:t>Science</w:t>
            </w:r>
            <w:proofErr w:type="spellEnd"/>
            <w:r w:rsidRPr="0037168D">
              <w:rPr>
                <w:rFonts w:ascii="Times New Roman" w:hAnsi="Times New Roman"/>
                <w:szCs w:val="24"/>
              </w:rPr>
              <w:t xml:space="preserve"> и </w:t>
            </w:r>
            <w:r w:rsidRPr="0037168D">
              <w:rPr>
                <w:rFonts w:ascii="Times New Roman" w:hAnsi="Times New Roman"/>
                <w:szCs w:val="24"/>
                <w:lang w:val="en-US"/>
              </w:rPr>
              <w:t>Scopus</w:t>
            </w:r>
            <w:r w:rsidRPr="0037168D">
              <w:rPr>
                <w:rFonts w:ascii="Times New Roman" w:hAnsi="Times New Roman"/>
                <w:szCs w:val="24"/>
              </w:rPr>
              <w:t xml:space="preserve"> с исключением дублирования на одного научно-педагогического работника </w:t>
            </w:r>
          </w:p>
        </w:tc>
        <w:tc>
          <w:tcPr>
            <w:tcW w:w="283" w:type="pct"/>
            <w:shd w:val="clear" w:color="auto" w:fill="auto"/>
            <w:vAlign w:val="center"/>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ед.</w:t>
            </w:r>
          </w:p>
          <w:p w:rsidR="00B73AB3" w:rsidRPr="0037168D" w:rsidRDefault="00B73AB3" w:rsidP="00BE6180">
            <w:pPr>
              <w:jc w:val="both"/>
              <w:rPr>
                <w:rFonts w:ascii="Times New Roman" w:hAnsi="Times New Roman"/>
                <w:szCs w:val="24"/>
              </w:rPr>
            </w:pPr>
          </w:p>
        </w:tc>
        <w:tc>
          <w:tcPr>
            <w:tcW w:w="371" w:type="pct"/>
            <w:shd w:val="clear" w:color="auto" w:fill="auto"/>
            <w:vAlign w:val="center"/>
          </w:tcPr>
          <w:p w:rsidR="00B73AB3" w:rsidRPr="0037168D" w:rsidRDefault="00B73AB3" w:rsidP="00BE6180">
            <w:pPr>
              <w:spacing w:after="0" w:line="240" w:lineRule="auto"/>
              <w:jc w:val="both"/>
              <w:rPr>
                <w:rFonts w:ascii="Times New Roman" w:hAnsi="Times New Roman"/>
                <w:szCs w:val="24"/>
                <w:lang w:val="en-US"/>
              </w:rPr>
            </w:pPr>
          </w:p>
        </w:tc>
        <w:tc>
          <w:tcPr>
            <w:tcW w:w="371" w:type="pct"/>
            <w:shd w:val="clear" w:color="auto" w:fill="auto"/>
            <w:vAlign w:val="center"/>
          </w:tcPr>
          <w:p w:rsidR="00B73AB3" w:rsidRPr="0037168D" w:rsidRDefault="00B73AB3" w:rsidP="00BE6180">
            <w:pPr>
              <w:spacing w:after="0" w:line="240" w:lineRule="auto"/>
              <w:jc w:val="both"/>
              <w:rPr>
                <w:rFonts w:ascii="Times New Roman" w:hAnsi="Times New Roman"/>
                <w:szCs w:val="24"/>
                <w:lang w:val="en-US"/>
              </w:rPr>
            </w:pPr>
          </w:p>
        </w:tc>
        <w:tc>
          <w:tcPr>
            <w:tcW w:w="368" w:type="pct"/>
            <w:shd w:val="clear" w:color="auto" w:fill="auto"/>
            <w:vAlign w:val="center"/>
          </w:tcPr>
          <w:p w:rsidR="00B73AB3" w:rsidRPr="0037168D" w:rsidRDefault="00B73AB3" w:rsidP="00BE6180">
            <w:pPr>
              <w:spacing w:after="0" w:line="240" w:lineRule="auto"/>
              <w:jc w:val="both"/>
              <w:rPr>
                <w:rFonts w:ascii="Times New Roman" w:hAnsi="Times New Roman"/>
                <w:szCs w:val="24"/>
                <w:highlight w:val="yellow"/>
                <w:lang w:val="en-US"/>
              </w:rPr>
            </w:pPr>
          </w:p>
        </w:tc>
        <w:tc>
          <w:tcPr>
            <w:tcW w:w="371" w:type="pct"/>
            <w:gridSpan w:val="2"/>
            <w:shd w:val="clear" w:color="auto" w:fill="auto"/>
            <w:vAlign w:val="center"/>
          </w:tcPr>
          <w:p w:rsidR="00B73AB3" w:rsidRPr="0037168D" w:rsidRDefault="00B73AB3" w:rsidP="00BE6180">
            <w:pPr>
              <w:spacing w:after="0" w:line="240" w:lineRule="auto"/>
              <w:jc w:val="both"/>
              <w:rPr>
                <w:rFonts w:ascii="Times New Roman" w:hAnsi="Times New Roman"/>
                <w:szCs w:val="24"/>
                <w:highlight w:val="yellow"/>
                <w:lang w:val="en-US"/>
              </w:rPr>
            </w:pPr>
          </w:p>
        </w:tc>
        <w:tc>
          <w:tcPr>
            <w:tcW w:w="419" w:type="pct"/>
            <w:shd w:val="clear" w:color="auto" w:fill="auto"/>
            <w:vAlign w:val="center"/>
          </w:tcPr>
          <w:p w:rsidR="00B73AB3" w:rsidRPr="0037168D" w:rsidRDefault="00B73AB3" w:rsidP="00BE6180">
            <w:pPr>
              <w:spacing w:after="0" w:line="240" w:lineRule="auto"/>
              <w:jc w:val="both"/>
              <w:rPr>
                <w:rFonts w:ascii="Times New Roman" w:hAnsi="Times New Roman"/>
                <w:szCs w:val="24"/>
                <w:highlight w:val="yellow"/>
                <w:lang w:val="en-US"/>
              </w:rPr>
            </w:pPr>
          </w:p>
        </w:tc>
        <w:tc>
          <w:tcPr>
            <w:tcW w:w="370" w:type="pct"/>
            <w:shd w:val="clear" w:color="auto" w:fill="auto"/>
            <w:vAlign w:val="center"/>
          </w:tcPr>
          <w:p w:rsidR="00B73AB3" w:rsidRPr="0037168D" w:rsidRDefault="00B73AB3" w:rsidP="00BE6180">
            <w:pPr>
              <w:spacing w:after="0" w:line="240" w:lineRule="auto"/>
              <w:jc w:val="both"/>
              <w:rPr>
                <w:rFonts w:ascii="Times New Roman" w:hAnsi="Times New Roman"/>
                <w:szCs w:val="24"/>
                <w:highlight w:val="yellow"/>
                <w:lang w:val="en-US"/>
              </w:rPr>
            </w:pPr>
          </w:p>
        </w:tc>
        <w:tc>
          <w:tcPr>
            <w:tcW w:w="371" w:type="pct"/>
            <w:shd w:val="clear" w:color="auto" w:fill="auto"/>
            <w:vAlign w:val="center"/>
          </w:tcPr>
          <w:p w:rsidR="00B73AB3" w:rsidRPr="0037168D" w:rsidRDefault="00B73AB3" w:rsidP="00BE6180">
            <w:pPr>
              <w:spacing w:after="0" w:line="240" w:lineRule="auto"/>
              <w:jc w:val="both"/>
              <w:rPr>
                <w:rFonts w:ascii="Times New Roman" w:hAnsi="Times New Roman"/>
                <w:szCs w:val="24"/>
                <w:highlight w:val="yellow"/>
                <w:lang w:val="en-US"/>
              </w:rPr>
            </w:pPr>
          </w:p>
        </w:tc>
        <w:tc>
          <w:tcPr>
            <w:tcW w:w="362" w:type="pct"/>
            <w:shd w:val="clear" w:color="auto" w:fill="auto"/>
            <w:vAlign w:val="center"/>
          </w:tcPr>
          <w:p w:rsidR="00B73AB3" w:rsidRPr="0037168D" w:rsidRDefault="00B73AB3" w:rsidP="00BE6180">
            <w:pPr>
              <w:spacing w:after="0" w:line="240" w:lineRule="auto"/>
              <w:jc w:val="both"/>
              <w:rPr>
                <w:rFonts w:ascii="Times New Roman" w:hAnsi="Times New Roman"/>
                <w:szCs w:val="24"/>
                <w:highlight w:val="yellow"/>
                <w:lang w:val="en-US"/>
              </w:rPr>
            </w:pPr>
          </w:p>
        </w:tc>
      </w:tr>
      <w:tr w:rsidR="00B73AB3" w:rsidRPr="0037168D" w:rsidTr="00934040">
        <w:tc>
          <w:tcPr>
            <w:tcW w:w="186" w:type="pct"/>
            <w:shd w:val="clear" w:color="auto" w:fill="auto"/>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2.1</w:t>
            </w:r>
          </w:p>
        </w:tc>
        <w:tc>
          <w:tcPr>
            <w:tcW w:w="1528" w:type="pct"/>
            <w:shd w:val="clear" w:color="auto" w:fill="auto"/>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 xml:space="preserve">Количество </w:t>
            </w:r>
            <w:r w:rsidRPr="00774FE1">
              <w:rPr>
                <w:rFonts w:ascii="Times New Roman" w:hAnsi="Times New Roman"/>
                <w:szCs w:val="24"/>
              </w:rPr>
              <w:t>публикаций</w:t>
            </w:r>
            <w:r w:rsidRPr="0037168D">
              <w:rPr>
                <w:rFonts w:ascii="Times New Roman" w:hAnsi="Times New Roman"/>
                <w:szCs w:val="24"/>
              </w:rPr>
              <w:t xml:space="preserve"> в базе данных </w:t>
            </w:r>
            <w:proofErr w:type="spellStart"/>
            <w:r w:rsidRPr="0037168D">
              <w:rPr>
                <w:rFonts w:ascii="Times New Roman" w:hAnsi="Times New Roman"/>
                <w:szCs w:val="24"/>
              </w:rPr>
              <w:t>Web</w:t>
            </w:r>
            <w:proofErr w:type="spellEnd"/>
            <w:r w:rsidRPr="0037168D">
              <w:rPr>
                <w:rFonts w:ascii="Times New Roman" w:hAnsi="Times New Roman"/>
                <w:szCs w:val="24"/>
              </w:rPr>
              <w:t xml:space="preserve"> of </w:t>
            </w:r>
            <w:proofErr w:type="spellStart"/>
            <w:r w:rsidRPr="0037168D">
              <w:rPr>
                <w:rFonts w:ascii="Times New Roman" w:hAnsi="Times New Roman"/>
                <w:szCs w:val="24"/>
              </w:rPr>
              <w:t>Science</w:t>
            </w:r>
            <w:proofErr w:type="spellEnd"/>
            <w:r w:rsidRPr="0037168D">
              <w:rPr>
                <w:rFonts w:ascii="Times New Roman" w:hAnsi="Times New Roman"/>
                <w:szCs w:val="24"/>
              </w:rPr>
              <w:t xml:space="preserve"> на одного научно-педагогического работника</w:t>
            </w:r>
          </w:p>
        </w:tc>
        <w:tc>
          <w:tcPr>
            <w:tcW w:w="283" w:type="pct"/>
            <w:shd w:val="clear" w:color="auto" w:fill="auto"/>
            <w:vAlign w:val="center"/>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ед.</w:t>
            </w:r>
          </w:p>
        </w:tc>
        <w:tc>
          <w:tcPr>
            <w:tcW w:w="371" w:type="pct"/>
            <w:shd w:val="clear" w:color="auto" w:fill="auto"/>
            <w:vAlign w:val="center"/>
          </w:tcPr>
          <w:p w:rsidR="00B73AB3" w:rsidRPr="0037168D" w:rsidRDefault="00B73AB3" w:rsidP="00BE6180">
            <w:pPr>
              <w:jc w:val="both"/>
              <w:rPr>
                <w:rFonts w:ascii="Times New Roman" w:hAnsi="Times New Roman" w:cs="Times New Roman"/>
                <w:szCs w:val="24"/>
              </w:rPr>
            </w:pPr>
            <w:r w:rsidRPr="0037168D">
              <w:rPr>
                <w:rFonts w:ascii="Times New Roman" w:hAnsi="Times New Roman" w:cs="Times New Roman"/>
                <w:szCs w:val="24"/>
              </w:rPr>
              <w:t>0,31</w:t>
            </w:r>
          </w:p>
        </w:tc>
        <w:tc>
          <w:tcPr>
            <w:tcW w:w="371"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0,48</w:t>
            </w:r>
          </w:p>
        </w:tc>
        <w:tc>
          <w:tcPr>
            <w:tcW w:w="368"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0,64</w:t>
            </w:r>
          </w:p>
        </w:tc>
        <w:tc>
          <w:tcPr>
            <w:tcW w:w="371" w:type="pct"/>
            <w:gridSpan w:val="2"/>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0,73</w:t>
            </w:r>
          </w:p>
        </w:tc>
        <w:tc>
          <w:tcPr>
            <w:tcW w:w="419"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0,97</w:t>
            </w:r>
          </w:p>
        </w:tc>
        <w:tc>
          <w:tcPr>
            <w:tcW w:w="370"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1,17</w:t>
            </w:r>
          </w:p>
        </w:tc>
        <w:tc>
          <w:tcPr>
            <w:tcW w:w="371"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1,3</w:t>
            </w:r>
          </w:p>
        </w:tc>
        <w:tc>
          <w:tcPr>
            <w:tcW w:w="362"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1,41</w:t>
            </w:r>
          </w:p>
        </w:tc>
      </w:tr>
      <w:tr w:rsidR="00B73AB3" w:rsidRPr="0037168D" w:rsidTr="00934040">
        <w:tc>
          <w:tcPr>
            <w:tcW w:w="186" w:type="pct"/>
            <w:shd w:val="clear" w:color="auto" w:fill="auto"/>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2.2</w:t>
            </w:r>
          </w:p>
        </w:tc>
        <w:tc>
          <w:tcPr>
            <w:tcW w:w="1528" w:type="pct"/>
            <w:shd w:val="clear" w:color="auto" w:fill="auto"/>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 xml:space="preserve">Количество </w:t>
            </w:r>
            <w:r w:rsidRPr="00774FE1">
              <w:rPr>
                <w:rFonts w:ascii="Times New Roman" w:hAnsi="Times New Roman"/>
                <w:szCs w:val="24"/>
              </w:rPr>
              <w:t>публикаций</w:t>
            </w:r>
            <w:r w:rsidRPr="0037168D">
              <w:rPr>
                <w:rFonts w:ascii="Times New Roman" w:hAnsi="Times New Roman"/>
                <w:szCs w:val="24"/>
              </w:rPr>
              <w:t xml:space="preserve"> в базе данных </w:t>
            </w:r>
            <w:r w:rsidRPr="0037168D">
              <w:rPr>
                <w:rFonts w:ascii="Times New Roman" w:hAnsi="Times New Roman"/>
                <w:szCs w:val="24"/>
                <w:lang w:val="en-US"/>
              </w:rPr>
              <w:t>Scopus</w:t>
            </w:r>
            <w:r w:rsidRPr="0037168D">
              <w:rPr>
                <w:rFonts w:ascii="Times New Roman" w:hAnsi="Times New Roman"/>
                <w:szCs w:val="24"/>
              </w:rPr>
              <w:t xml:space="preserve"> на одного научно-педагогического работника</w:t>
            </w:r>
          </w:p>
        </w:tc>
        <w:tc>
          <w:tcPr>
            <w:tcW w:w="283" w:type="pct"/>
            <w:shd w:val="clear" w:color="auto" w:fill="auto"/>
            <w:vAlign w:val="center"/>
          </w:tcPr>
          <w:p w:rsidR="00B73AB3" w:rsidRPr="0037168D" w:rsidRDefault="00B73AB3" w:rsidP="00BE6180">
            <w:pPr>
              <w:spacing w:after="0" w:line="240" w:lineRule="auto"/>
              <w:jc w:val="both"/>
              <w:rPr>
                <w:rFonts w:ascii="Times New Roman" w:hAnsi="Times New Roman"/>
                <w:szCs w:val="24"/>
              </w:rPr>
            </w:pPr>
            <w:r w:rsidRPr="0037168D">
              <w:rPr>
                <w:rFonts w:ascii="Times New Roman" w:hAnsi="Times New Roman"/>
                <w:szCs w:val="24"/>
              </w:rPr>
              <w:t>ед.</w:t>
            </w:r>
          </w:p>
        </w:tc>
        <w:tc>
          <w:tcPr>
            <w:tcW w:w="371"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rPr>
              <w:t>0</w:t>
            </w:r>
            <w:r w:rsidRPr="0037168D">
              <w:rPr>
                <w:rFonts w:ascii="Times New Roman" w:hAnsi="Times New Roman" w:cs="Times New Roman"/>
                <w:szCs w:val="24"/>
                <w:lang w:val="en-US"/>
              </w:rPr>
              <w:t>,41</w:t>
            </w:r>
          </w:p>
        </w:tc>
        <w:tc>
          <w:tcPr>
            <w:tcW w:w="371"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0,68</w:t>
            </w:r>
          </w:p>
        </w:tc>
        <w:tc>
          <w:tcPr>
            <w:tcW w:w="368"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w:t>
            </w:r>
          </w:p>
        </w:tc>
        <w:tc>
          <w:tcPr>
            <w:tcW w:w="371" w:type="pct"/>
            <w:gridSpan w:val="2"/>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1,23</w:t>
            </w:r>
          </w:p>
        </w:tc>
        <w:tc>
          <w:tcPr>
            <w:tcW w:w="419"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1,43</w:t>
            </w:r>
          </w:p>
        </w:tc>
        <w:tc>
          <w:tcPr>
            <w:tcW w:w="370"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1,63</w:t>
            </w:r>
          </w:p>
        </w:tc>
        <w:tc>
          <w:tcPr>
            <w:tcW w:w="371"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1,82</w:t>
            </w:r>
          </w:p>
        </w:tc>
        <w:tc>
          <w:tcPr>
            <w:tcW w:w="362" w:type="pct"/>
            <w:shd w:val="clear" w:color="auto" w:fill="auto"/>
            <w:vAlign w:val="center"/>
          </w:tcPr>
          <w:p w:rsidR="00B73AB3" w:rsidRPr="0037168D" w:rsidRDefault="00B73AB3" w:rsidP="00BE6180">
            <w:pPr>
              <w:jc w:val="both"/>
              <w:rPr>
                <w:rFonts w:ascii="Times New Roman" w:hAnsi="Times New Roman" w:cs="Times New Roman"/>
                <w:szCs w:val="24"/>
                <w:lang w:val="en-US"/>
              </w:rPr>
            </w:pPr>
            <w:r w:rsidRPr="0037168D">
              <w:rPr>
                <w:rFonts w:ascii="Times New Roman" w:hAnsi="Times New Roman" w:cs="Times New Roman"/>
                <w:szCs w:val="24"/>
                <w:lang w:val="en-US"/>
              </w:rPr>
              <w:t>1,95</w:t>
            </w:r>
          </w:p>
        </w:tc>
      </w:tr>
    </w:tbl>
    <w:p w:rsidR="00B73AB3" w:rsidRPr="00B73AB3" w:rsidRDefault="00B73AB3" w:rsidP="00BE6180">
      <w:pPr>
        <w:jc w:val="both"/>
        <w:rPr>
          <w:b/>
          <w:color w:val="000000" w:themeColor="text1"/>
        </w:rPr>
      </w:pPr>
    </w:p>
    <w:sectPr w:rsidR="00B73AB3" w:rsidRPr="00B73AB3" w:rsidSect="000C3940">
      <w:footerReference w:type="default" r:id="rId11"/>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8A" w:rsidRDefault="0074138A" w:rsidP="00945062">
      <w:pPr>
        <w:spacing w:after="0" w:line="240" w:lineRule="auto"/>
      </w:pPr>
      <w:r>
        <w:separator/>
      </w:r>
    </w:p>
  </w:endnote>
  <w:endnote w:type="continuationSeparator" w:id="0">
    <w:p w:rsidR="0074138A" w:rsidRDefault="0074138A" w:rsidP="0094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692404"/>
      <w:docPartObj>
        <w:docPartGallery w:val="Page Numbers (Bottom of Page)"/>
        <w:docPartUnique/>
      </w:docPartObj>
    </w:sdtPr>
    <w:sdtEndPr/>
    <w:sdtContent>
      <w:p w:rsidR="00945062" w:rsidRDefault="00945062">
        <w:pPr>
          <w:pStyle w:val="a7"/>
          <w:jc w:val="center"/>
        </w:pPr>
        <w:r>
          <w:fldChar w:fldCharType="begin"/>
        </w:r>
        <w:r>
          <w:instrText>PAGE   \* MERGEFORMAT</w:instrText>
        </w:r>
        <w:r>
          <w:fldChar w:fldCharType="separate"/>
        </w:r>
        <w:r w:rsidR="00623970">
          <w:rPr>
            <w:noProof/>
          </w:rPr>
          <w:t>3</w:t>
        </w:r>
        <w:r>
          <w:fldChar w:fldCharType="end"/>
        </w:r>
      </w:p>
    </w:sdtContent>
  </w:sdt>
  <w:p w:rsidR="00945062" w:rsidRDefault="009450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8A" w:rsidRDefault="0074138A" w:rsidP="00945062">
      <w:pPr>
        <w:spacing w:after="0" w:line="240" w:lineRule="auto"/>
      </w:pPr>
      <w:r>
        <w:separator/>
      </w:r>
    </w:p>
  </w:footnote>
  <w:footnote w:type="continuationSeparator" w:id="0">
    <w:p w:rsidR="0074138A" w:rsidRDefault="0074138A" w:rsidP="00945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308"/>
    <w:multiLevelType w:val="hybridMultilevel"/>
    <w:tmpl w:val="1D92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24C5B"/>
    <w:multiLevelType w:val="hybridMultilevel"/>
    <w:tmpl w:val="179E57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6D424F"/>
    <w:multiLevelType w:val="hybridMultilevel"/>
    <w:tmpl w:val="C7245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60A40"/>
    <w:multiLevelType w:val="hybridMultilevel"/>
    <w:tmpl w:val="2DAC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02725"/>
    <w:multiLevelType w:val="hybridMultilevel"/>
    <w:tmpl w:val="4DBCB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A2277"/>
    <w:multiLevelType w:val="hybridMultilevel"/>
    <w:tmpl w:val="B660F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072D9"/>
    <w:multiLevelType w:val="hybridMultilevel"/>
    <w:tmpl w:val="C0F2A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951AED"/>
    <w:multiLevelType w:val="hybridMultilevel"/>
    <w:tmpl w:val="6C92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2D1AC0"/>
    <w:multiLevelType w:val="hybridMultilevel"/>
    <w:tmpl w:val="308A9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741D04"/>
    <w:multiLevelType w:val="hybridMultilevel"/>
    <w:tmpl w:val="C1B6D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C1DD5"/>
    <w:multiLevelType w:val="hybridMultilevel"/>
    <w:tmpl w:val="CEA40B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690399B"/>
    <w:multiLevelType w:val="hybridMultilevel"/>
    <w:tmpl w:val="437EB6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9"/>
  </w:num>
  <w:num w:numId="4">
    <w:abstractNumId w:val="7"/>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99"/>
    <w:rsid w:val="000464B8"/>
    <w:rsid w:val="00057741"/>
    <w:rsid w:val="00061BCE"/>
    <w:rsid w:val="00071B23"/>
    <w:rsid w:val="00071EBD"/>
    <w:rsid w:val="000A06F2"/>
    <w:rsid w:val="000B5161"/>
    <w:rsid w:val="000C3940"/>
    <w:rsid w:val="001154B9"/>
    <w:rsid w:val="00124537"/>
    <w:rsid w:val="00136304"/>
    <w:rsid w:val="00141574"/>
    <w:rsid w:val="001B30B3"/>
    <w:rsid w:val="001F100A"/>
    <w:rsid w:val="00216970"/>
    <w:rsid w:val="0024386D"/>
    <w:rsid w:val="002710D2"/>
    <w:rsid w:val="002C779F"/>
    <w:rsid w:val="002E0FBC"/>
    <w:rsid w:val="003153CC"/>
    <w:rsid w:val="00351615"/>
    <w:rsid w:val="00356287"/>
    <w:rsid w:val="003D6A80"/>
    <w:rsid w:val="00422FEA"/>
    <w:rsid w:val="00431BFB"/>
    <w:rsid w:val="00454B5A"/>
    <w:rsid w:val="00461AD0"/>
    <w:rsid w:val="00462C12"/>
    <w:rsid w:val="00470073"/>
    <w:rsid w:val="0048497A"/>
    <w:rsid w:val="004965FB"/>
    <w:rsid w:val="00502A18"/>
    <w:rsid w:val="00544A1F"/>
    <w:rsid w:val="005561B9"/>
    <w:rsid w:val="0057138B"/>
    <w:rsid w:val="00577D09"/>
    <w:rsid w:val="005D0F0C"/>
    <w:rsid w:val="005F06D4"/>
    <w:rsid w:val="00623970"/>
    <w:rsid w:val="006D6F3C"/>
    <w:rsid w:val="006F12CF"/>
    <w:rsid w:val="00707CA9"/>
    <w:rsid w:val="0071353E"/>
    <w:rsid w:val="00736085"/>
    <w:rsid w:val="0074138A"/>
    <w:rsid w:val="0074308B"/>
    <w:rsid w:val="00744E79"/>
    <w:rsid w:val="0079784B"/>
    <w:rsid w:val="007B569F"/>
    <w:rsid w:val="00804252"/>
    <w:rsid w:val="0080555B"/>
    <w:rsid w:val="008260B1"/>
    <w:rsid w:val="00842C90"/>
    <w:rsid w:val="008827CE"/>
    <w:rsid w:val="008C3E41"/>
    <w:rsid w:val="008C3FE8"/>
    <w:rsid w:val="008F3ADE"/>
    <w:rsid w:val="008F78E3"/>
    <w:rsid w:val="00900930"/>
    <w:rsid w:val="00905AD3"/>
    <w:rsid w:val="00935797"/>
    <w:rsid w:val="00945062"/>
    <w:rsid w:val="009574CF"/>
    <w:rsid w:val="009661A5"/>
    <w:rsid w:val="00966999"/>
    <w:rsid w:val="00971BF5"/>
    <w:rsid w:val="00976056"/>
    <w:rsid w:val="0099095F"/>
    <w:rsid w:val="009A6713"/>
    <w:rsid w:val="009C68A5"/>
    <w:rsid w:val="009E78B1"/>
    <w:rsid w:val="00A146C9"/>
    <w:rsid w:val="00A2116B"/>
    <w:rsid w:val="00A30550"/>
    <w:rsid w:val="00A47D36"/>
    <w:rsid w:val="00A6120D"/>
    <w:rsid w:val="00A857B8"/>
    <w:rsid w:val="00B26606"/>
    <w:rsid w:val="00B30C4D"/>
    <w:rsid w:val="00B67F4B"/>
    <w:rsid w:val="00B73AB3"/>
    <w:rsid w:val="00BB529A"/>
    <w:rsid w:val="00BE0FAB"/>
    <w:rsid w:val="00BE6180"/>
    <w:rsid w:val="00BF40AF"/>
    <w:rsid w:val="00C05456"/>
    <w:rsid w:val="00C40F41"/>
    <w:rsid w:val="00C43581"/>
    <w:rsid w:val="00C50539"/>
    <w:rsid w:val="00C82929"/>
    <w:rsid w:val="00C96903"/>
    <w:rsid w:val="00CB34C9"/>
    <w:rsid w:val="00CC4B98"/>
    <w:rsid w:val="00D24D50"/>
    <w:rsid w:val="00D44194"/>
    <w:rsid w:val="00D50650"/>
    <w:rsid w:val="00D62FF8"/>
    <w:rsid w:val="00DE1699"/>
    <w:rsid w:val="00E03C63"/>
    <w:rsid w:val="00E145CD"/>
    <w:rsid w:val="00E34F4E"/>
    <w:rsid w:val="00E473EC"/>
    <w:rsid w:val="00E51699"/>
    <w:rsid w:val="00E77A21"/>
    <w:rsid w:val="00EF64A9"/>
    <w:rsid w:val="00F877FA"/>
    <w:rsid w:val="00F976E0"/>
    <w:rsid w:val="00FA0EC5"/>
    <w:rsid w:val="00FA2FC2"/>
    <w:rsid w:val="00FB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5456"/>
    <w:rPr>
      <w:color w:val="0000FF" w:themeColor="hyperlink"/>
      <w:u w:val="single"/>
    </w:rPr>
  </w:style>
  <w:style w:type="paragraph" w:styleId="a5">
    <w:name w:val="header"/>
    <w:basedOn w:val="a"/>
    <w:link w:val="a6"/>
    <w:uiPriority w:val="99"/>
    <w:unhideWhenUsed/>
    <w:rsid w:val="009450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5062"/>
  </w:style>
  <w:style w:type="paragraph" w:styleId="a7">
    <w:name w:val="footer"/>
    <w:basedOn w:val="a"/>
    <w:link w:val="a8"/>
    <w:uiPriority w:val="99"/>
    <w:unhideWhenUsed/>
    <w:rsid w:val="009450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5062"/>
  </w:style>
  <w:style w:type="paragraph" w:styleId="a9">
    <w:name w:val="List Paragraph"/>
    <w:basedOn w:val="a"/>
    <w:uiPriority w:val="34"/>
    <w:qFormat/>
    <w:rsid w:val="00E03C63"/>
    <w:pPr>
      <w:spacing w:after="0" w:line="240" w:lineRule="auto"/>
    </w:pPr>
    <w:rPr>
      <w:rFonts w:ascii="Times New Roman" w:eastAsia="Calibri" w:hAnsi="Times New Roman" w:cs="Times New Roman"/>
      <w:sz w:val="24"/>
      <w:szCs w:val="24"/>
      <w:lang w:eastAsia="ru-RU"/>
    </w:rPr>
  </w:style>
  <w:style w:type="paragraph" w:styleId="aa">
    <w:name w:val="Plain Text"/>
    <w:basedOn w:val="a"/>
    <w:link w:val="ab"/>
    <w:uiPriority w:val="99"/>
    <w:semiHidden/>
    <w:unhideWhenUsed/>
    <w:rsid w:val="00976056"/>
    <w:pPr>
      <w:spacing w:after="0" w:line="240" w:lineRule="auto"/>
    </w:pPr>
    <w:rPr>
      <w:rFonts w:ascii="Calibri" w:hAnsi="Calibri"/>
      <w:szCs w:val="21"/>
    </w:rPr>
  </w:style>
  <w:style w:type="character" w:customStyle="1" w:styleId="ab">
    <w:name w:val="Текст Знак"/>
    <w:basedOn w:val="a0"/>
    <w:link w:val="aa"/>
    <w:uiPriority w:val="99"/>
    <w:semiHidden/>
    <w:rsid w:val="00976056"/>
    <w:rPr>
      <w:rFonts w:ascii="Calibri" w:hAnsi="Calibri"/>
      <w:szCs w:val="21"/>
    </w:rPr>
  </w:style>
  <w:style w:type="paragraph" w:styleId="ac">
    <w:name w:val="Balloon Text"/>
    <w:basedOn w:val="a"/>
    <w:link w:val="ad"/>
    <w:uiPriority w:val="99"/>
    <w:semiHidden/>
    <w:unhideWhenUsed/>
    <w:rsid w:val="007B56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69F"/>
    <w:rPr>
      <w:rFonts w:ascii="Tahoma" w:hAnsi="Tahoma" w:cs="Tahoma"/>
      <w:sz w:val="16"/>
      <w:szCs w:val="16"/>
    </w:rPr>
  </w:style>
  <w:style w:type="character" w:customStyle="1" w:styleId="apple-converted-space">
    <w:name w:val="apple-converted-space"/>
    <w:basedOn w:val="a0"/>
    <w:rsid w:val="00544A1F"/>
  </w:style>
  <w:style w:type="character" w:styleId="ae">
    <w:name w:val="FollowedHyperlink"/>
    <w:basedOn w:val="a0"/>
    <w:uiPriority w:val="99"/>
    <w:semiHidden/>
    <w:unhideWhenUsed/>
    <w:rsid w:val="006239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5456"/>
    <w:rPr>
      <w:color w:val="0000FF" w:themeColor="hyperlink"/>
      <w:u w:val="single"/>
    </w:rPr>
  </w:style>
  <w:style w:type="paragraph" w:styleId="a5">
    <w:name w:val="header"/>
    <w:basedOn w:val="a"/>
    <w:link w:val="a6"/>
    <w:uiPriority w:val="99"/>
    <w:unhideWhenUsed/>
    <w:rsid w:val="009450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5062"/>
  </w:style>
  <w:style w:type="paragraph" w:styleId="a7">
    <w:name w:val="footer"/>
    <w:basedOn w:val="a"/>
    <w:link w:val="a8"/>
    <w:uiPriority w:val="99"/>
    <w:unhideWhenUsed/>
    <w:rsid w:val="009450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5062"/>
  </w:style>
  <w:style w:type="paragraph" w:styleId="a9">
    <w:name w:val="List Paragraph"/>
    <w:basedOn w:val="a"/>
    <w:uiPriority w:val="34"/>
    <w:qFormat/>
    <w:rsid w:val="00E03C63"/>
    <w:pPr>
      <w:spacing w:after="0" w:line="240" w:lineRule="auto"/>
    </w:pPr>
    <w:rPr>
      <w:rFonts w:ascii="Times New Roman" w:eastAsia="Calibri" w:hAnsi="Times New Roman" w:cs="Times New Roman"/>
      <w:sz w:val="24"/>
      <w:szCs w:val="24"/>
      <w:lang w:eastAsia="ru-RU"/>
    </w:rPr>
  </w:style>
  <w:style w:type="paragraph" w:styleId="aa">
    <w:name w:val="Plain Text"/>
    <w:basedOn w:val="a"/>
    <w:link w:val="ab"/>
    <w:uiPriority w:val="99"/>
    <w:semiHidden/>
    <w:unhideWhenUsed/>
    <w:rsid w:val="00976056"/>
    <w:pPr>
      <w:spacing w:after="0" w:line="240" w:lineRule="auto"/>
    </w:pPr>
    <w:rPr>
      <w:rFonts w:ascii="Calibri" w:hAnsi="Calibri"/>
      <w:szCs w:val="21"/>
    </w:rPr>
  </w:style>
  <w:style w:type="character" w:customStyle="1" w:styleId="ab">
    <w:name w:val="Текст Знак"/>
    <w:basedOn w:val="a0"/>
    <w:link w:val="aa"/>
    <w:uiPriority w:val="99"/>
    <w:semiHidden/>
    <w:rsid w:val="00976056"/>
    <w:rPr>
      <w:rFonts w:ascii="Calibri" w:hAnsi="Calibri"/>
      <w:szCs w:val="21"/>
    </w:rPr>
  </w:style>
  <w:style w:type="paragraph" w:styleId="ac">
    <w:name w:val="Balloon Text"/>
    <w:basedOn w:val="a"/>
    <w:link w:val="ad"/>
    <w:uiPriority w:val="99"/>
    <w:semiHidden/>
    <w:unhideWhenUsed/>
    <w:rsid w:val="007B56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69F"/>
    <w:rPr>
      <w:rFonts w:ascii="Tahoma" w:hAnsi="Tahoma" w:cs="Tahoma"/>
      <w:sz w:val="16"/>
      <w:szCs w:val="16"/>
    </w:rPr>
  </w:style>
  <w:style w:type="character" w:customStyle="1" w:styleId="apple-converted-space">
    <w:name w:val="apple-converted-space"/>
    <w:basedOn w:val="a0"/>
    <w:rsid w:val="00544A1F"/>
  </w:style>
  <w:style w:type="character" w:styleId="ae">
    <w:name w:val="FollowedHyperlink"/>
    <w:basedOn w:val="a0"/>
    <w:uiPriority w:val="99"/>
    <w:semiHidden/>
    <w:unhideWhenUsed/>
    <w:rsid w:val="00623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9853">
      <w:bodyDiv w:val="1"/>
      <w:marLeft w:val="0"/>
      <w:marRight w:val="0"/>
      <w:marTop w:val="0"/>
      <w:marBottom w:val="0"/>
      <w:divBdr>
        <w:top w:val="none" w:sz="0" w:space="0" w:color="auto"/>
        <w:left w:val="none" w:sz="0" w:space="0" w:color="auto"/>
        <w:bottom w:val="none" w:sz="0" w:space="0" w:color="auto"/>
        <w:right w:val="none" w:sz="0" w:space="0" w:color="auto"/>
      </w:divBdr>
    </w:div>
    <w:div w:id="339964912">
      <w:bodyDiv w:val="1"/>
      <w:marLeft w:val="0"/>
      <w:marRight w:val="0"/>
      <w:marTop w:val="0"/>
      <w:marBottom w:val="0"/>
      <w:divBdr>
        <w:top w:val="none" w:sz="0" w:space="0" w:color="auto"/>
        <w:left w:val="none" w:sz="0" w:space="0" w:color="auto"/>
        <w:bottom w:val="none" w:sz="0" w:space="0" w:color="auto"/>
        <w:right w:val="none" w:sz="0" w:space="0" w:color="auto"/>
      </w:divBdr>
    </w:div>
    <w:div w:id="505872680">
      <w:bodyDiv w:val="1"/>
      <w:marLeft w:val="0"/>
      <w:marRight w:val="0"/>
      <w:marTop w:val="0"/>
      <w:marBottom w:val="0"/>
      <w:divBdr>
        <w:top w:val="none" w:sz="0" w:space="0" w:color="auto"/>
        <w:left w:val="none" w:sz="0" w:space="0" w:color="auto"/>
        <w:bottom w:val="none" w:sz="0" w:space="0" w:color="auto"/>
        <w:right w:val="none" w:sz="0" w:space="0" w:color="auto"/>
      </w:divBdr>
    </w:div>
    <w:div w:id="554050225">
      <w:bodyDiv w:val="1"/>
      <w:marLeft w:val="0"/>
      <w:marRight w:val="0"/>
      <w:marTop w:val="0"/>
      <w:marBottom w:val="0"/>
      <w:divBdr>
        <w:top w:val="none" w:sz="0" w:space="0" w:color="auto"/>
        <w:left w:val="none" w:sz="0" w:space="0" w:color="auto"/>
        <w:bottom w:val="none" w:sz="0" w:space="0" w:color="auto"/>
        <w:right w:val="none" w:sz="0" w:space="0" w:color="auto"/>
      </w:divBdr>
    </w:div>
    <w:div w:id="581571477">
      <w:bodyDiv w:val="1"/>
      <w:marLeft w:val="0"/>
      <w:marRight w:val="0"/>
      <w:marTop w:val="0"/>
      <w:marBottom w:val="0"/>
      <w:divBdr>
        <w:top w:val="none" w:sz="0" w:space="0" w:color="auto"/>
        <w:left w:val="none" w:sz="0" w:space="0" w:color="auto"/>
        <w:bottom w:val="none" w:sz="0" w:space="0" w:color="auto"/>
        <w:right w:val="none" w:sz="0" w:space="0" w:color="auto"/>
      </w:divBdr>
    </w:div>
    <w:div w:id="706292330">
      <w:bodyDiv w:val="1"/>
      <w:marLeft w:val="0"/>
      <w:marRight w:val="0"/>
      <w:marTop w:val="0"/>
      <w:marBottom w:val="0"/>
      <w:divBdr>
        <w:top w:val="none" w:sz="0" w:space="0" w:color="auto"/>
        <w:left w:val="none" w:sz="0" w:space="0" w:color="auto"/>
        <w:bottom w:val="none" w:sz="0" w:space="0" w:color="auto"/>
        <w:right w:val="none" w:sz="0" w:space="0" w:color="auto"/>
      </w:divBdr>
    </w:div>
    <w:div w:id="718432581">
      <w:bodyDiv w:val="1"/>
      <w:marLeft w:val="0"/>
      <w:marRight w:val="0"/>
      <w:marTop w:val="0"/>
      <w:marBottom w:val="0"/>
      <w:divBdr>
        <w:top w:val="none" w:sz="0" w:space="0" w:color="auto"/>
        <w:left w:val="none" w:sz="0" w:space="0" w:color="auto"/>
        <w:bottom w:val="none" w:sz="0" w:space="0" w:color="auto"/>
        <w:right w:val="none" w:sz="0" w:space="0" w:color="auto"/>
      </w:divBdr>
    </w:div>
    <w:div w:id="1045104997">
      <w:bodyDiv w:val="1"/>
      <w:marLeft w:val="0"/>
      <w:marRight w:val="0"/>
      <w:marTop w:val="0"/>
      <w:marBottom w:val="0"/>
      <w:divBdr>
        <w:top w:val="none" w:sz="0" w:space="0" w:color="auto"/>
        <w:left w:val="none" w:sz="0" w:space="0" w:color="auto"/>
        <w:bottom w:val="none" w:sz="0" w:space="0" w:color="auto"/>
        <w:right w:val="none" w:sz="0" w:space="0" w:color="auto"/>
      </w:divBdr>
    </w:div>
    <w:div w:id="1118254976">
      <w:bodyDiv w:val="1"/>
      <w:marLeft w:val="0"/>
      <w:marRight w:val="0"/>
      <w:marTop w:val="0"/>
      <w:marBottom w:val="0"/>
      <w:divBdr>
        <w:top w:val="none" w:sz="0" w:space="0" w:color="auto"/>
        <w:left w:val="none" w:sz="0" w:space="0" w:color="auto"/>
        <w:bottom w:val="none" w:sz="0" w:space="0" w:color="auto"/>
        <w:right w:val="none" w:sz="0" w:space="0" w:color="auto"/>
      </w:divBdr>
    </w:div>
    <w:div w:id="1158112404">
      <w:bodyDiv w:val="1"/>
      <w:marLeft w:val="0"/>
      <w:marRight w:val="0"/>
      <w:marTop w:val="0"/>
      <w:marBottom w:val="0"/>
      <w:divBdr>
        <w:top w:val="none" w:sz="0" w:space="0" w:color="auto"/>
        <w:left w:val="none" w:sz="0" w:space="0" w:color="auto"/>
        <w:bottom w:val="none" w:sz="0" w:space="0" w:color="auto"/>
        <w:right w:val="none" w:sz="0" w:space="0" w:color="auto"/>
      </w:divBdr>
    </w:div>
    <w:div w:id="1192257996">
      <w:bodyDiv w:val="1"/>
      <w:marLeft w:val="0"/>
      <w:marRight w:val="0"/>
      <w:marTop w:val="0"/>
      <w:marBottom w:val="0"/>
      <w:divBdr>
        <w:top w:val="none" w:sz="0" w:space="0" w:color="auto"/>
        <w:left w:val="none" w:sz="0" w:space="0" w:color="auto"/>
        <w:bottom w:val="none" w:sz="0" w:space="0" w:color="auto"/>
        <w:right w:val="none" w:sz="0" w:space="0" w:color="auto"/>
      </w:divBdr>
    </w:div>
    <w:div w:id="1226797768">
      <w:bodyDiv w:val="1"/>
      <w:marLeft w:val="0"/>
      <w:marRight w:val="0"/>
      <w:marTop w:val="0"/>
      <w:marBottom w:val="0"/>
      <w:divBdr>
        <w:top w:val="none" w:sz="0" w:space="0" w:color="auto"/>
        <w:left w:val="none" w:sz="0" w:space="0" w:color="auto"/>
        <w:bottom w:val="none" w:sz="0" w:space="0" w:color="auto"/>
        <w:right w:val="none" w:sz="0" w:space="0" w:color="auto"/>
      </w:divBdr>
    </w:div>
    <w:div w:id="1254047388">
      <w:bodyDiv w:val="1"/>
      <w:marLeft w:val="0"/>
      <w:marRight w:val="0"/>
      <w:marTop w:val="0"/>
      <w:marBottom w:val="0"/>
      <w:divBdr>
        <w:top w:val="none" w:sz="0" w:space="0" w:color="auto"/>
        <w:left w:val="none" w:sz="0" w:space="0" w:color="auto"/>
        <w:bottom w:val="none" w:sz="0" w:space="0" w:color="auto"/>
        <w:right w:val="none" w:sz="0" w:space="0" w:color="auto"/>
      </w:divBdr>
    </w:div>
    <w:div w:id="1280069564">
      <w:bodyDiv w:val="1"/>
      <w:marLeft w:val="0"/>
      <w:marRight w:val="0"/>
      <w:marTop w:val="0"/>
      <w:marBottom w:val="0"/>
      <w:divBdr>
        <w:top w:val="none" w:sz="0" w:space="0" w:color="auto"/>
        <w:left w:val="none" w:sz="0" w:space="0" w:color="auto"/>
        <w:bottom w:val="none" w:sz="0" w:space="0" w:color="auto"/>
        <w:right w:val="none" w:sz="0" w:space="0" w:color="auto"/>
      </w:divBdr>
    </w:div>
    <w:div w:id="1326284085">
      <w:bodyDiv w:val="1"/>
      <w:marLeft w:val="0"/>
      <w:marRight w:val="0"/>
      <w:marTop w:val="0"/>
      <w:marBottom w:val="0"/>
      <w:divBdr>
        <w:top w:val="none" w:sz="0" w:space="0" w:color="auto"/>
        <w:left w:val="none" w:sz="0" w:space="0" w:color="auto"/>
        <w:bottom w:val="none" w:sz="0" w:space="0" w:color="auto"/>
        <w:right w:val="none" w:sz="0" w:space="0" w:color="auto"/>
      </w:divBdr>
    </w:div>
    <w:div w:id="1457599914">
      <w:bodyDiv w:val="1"/>
      <w:marLeft w:val="0"/>
      <w:marRight w:val="0"/>
      <w:marTop w:val="0"/>
      <w:marBottom w:val="0"/>
      <w:divBdr>
        <w:top w:val="none" w:sz="0" w:space="0" w:color="auto"/>
        <w:left w:val="none" w:sz="0" w:space="0" w:color="auto"/>
        <w:bottom w:val="none" w:sz="0" w:space="0" w:color="auto"/>
        <w:right w:val="none" w:sz="0" w:space="0" w:color="auto"/>
      </w:divBdr>
    </w:div>
    <w:div w:id="1460755678">
      <w:bodyDiv w:val="1"/>
      <w:marLeft w:val="0"/>
      <w:marRight w:val="0"/>
      <w:marTop w:val="0"/>
      <w:marBottom w:val="0"/>
      <w:divBdr>
        <w:top w:val="none" w:sz="0" w:space="0" w:color="auto"/>
        <w:left w:val="none" w:sz="0" w:space="0" w:color="auto"/>
        <w:bottom w:val="none" w:sz="0" w:space="0" w:color="auto"/>
        <w:right w:val="none" w:sz="0" w:space="0" w:color="auto"/>
      </w:divBdr>
    </w:div>
    <w:div w:id="1605305973">
      <w:bodyDiv w:val="1"/>
      <w:marLeft w:val="0"/>
      <w:marRight w:val="0"/>
      <w:marTop w:val="0"/>
      <w:marBottom w:val="0"/>
      <w:divBdr>
        <w:top w:val="none" w:sz="0" w:space="0" w:color="auto"/>
        <w:left w:val="none" w:sz="0" w:space="0" w:color="auto"/>
        <w:bottom w:val="none" w:sz="0" w:space="0" w:color="auto"/>
        <w:right w:val="none" w:sz="0" w:space="0" w:color="auto"/>
      </w:divBdr>
    </w:div>
    <w:div w:id="1701932431">
      <w:bodyDiv w:val="1"/>
      <w:marLeft w:val="0"/>
      <w:marRight w:val="0"/>
      <w:marTop w:val="0"/>
      <w:marBottom w:val="0"/>
      <w:divBdr>
        <w:top w:val="none" w:sz="0" w:space="0" w:color="auto"/>
        <w:left w:val="none" w:sz="0" w:space="0" w:color="auto"/>
        <w:bottom w:val="none" w:sz="0" w:space="0" w:color="auto"/>
        <w:right w:val="none" w:sz="0" w:space="0" w:color="auto"/>
      </w:divBdr>
    </w:div>
    <w:div w:id="1843935849">
      <w:bodyDiv w:val="1"/>
      <w:marLeft w:val="0"/>
      <w:marRight w:val="0"/>
      <w:marTop w:val="0"/>
      <w:marBottom w:val="0"/>
      <w:divBdr>
        <w:top w:val="none" w:sz="0" w:space="0" w:color="auto"/>
        <w:left w:val="none" w:sz="0" w:space="0" w:color="auto"/>
        <w:bottom w:val="none" w:sz="0" w:space="0" w:color="auto"/>
        <w:right w:val="none" w:sz="0" w:space="0" w:color="auto"/>
      </w:divBdr>
    </w:div>
    <w:div w:id="2034653045">
      <w:bodyDiv w:val="1"/>
      <w:marLeft w:val="0"/>
      <w:marRight w:val="0"/>
      <w:marTop w:val="0"/>
      <w:marBottom w:val="0"/>
      <w:divBdr>
        <w:top w:val="none" w:sz="0" w:space="0" w:color="auto"/>
        <w:left w:val="none" w:sz="0" w:space="0" w:color="auto"/>
        <w:bottom w:val="none" w:sz="0" w:space="0" w:color="auto"/>
        <w:right w:val="none" w:sz="0" w:space="0" w:color="auto"/>
      </w:divBdr>
    </w:div>
    <w:div w:id="2046173840">
      <w:bodyDiv w:val="1"/>
      <w:marLeft w:val="0"/>
      <w:marRight w:val="0"/>
      <w:marTop w:val="0"/>
      <w:marBottom w:val="0"/>
      <w:divBdr>
        <w:top w:val="none" w:sz="0" w:space="0" w:color="auto"/>
        <w:left w:val="none" w:sz="0" w:space="0" w:color="auto"/>
        <w:bottom w:val="none" w:sz="0" w:space="0" w:color="auto"/>
        <w:right w:val="none" w:sz="0" w:space="0" w:color="auto"/>
      </w:divBdr>
    </w:div>
    <w:div w:id="2123183205">
      <w:bodyDiv w:val="1"/>
      <w:marLeft w:val="0"/>
      <w:marRight w:val="0"/>
      <w:marTop w:val="0"/>
      <w:marBottom w:val="0"/>
      <w:divBdr>
        <w:top w:val="none" w:sz="0" w:space="0" w:color="auto"/>
        <w:left w:val="none" w:sz="0" w:space="0" w:color="auto"/>
        <w:bottom w:val="none" w:sz="0" w:space="0" w:color="auto"/>
        <w:right w:val="none" w:sz="0" w:space="0" w:color="auto"/>
      </w:divBdr>
    </w:div>
    <w:div w:id="21415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trategy.hse.ru/ppk_doc" TargetMode="External"/><Relationship Id="rId4" Type="http://schemas.microsoft.com/office/2007/relationships/stylesWithEffects" Target="stylesWithEffects.xml"/><Relationship Id="rId9" Type="http://schemas.openxmlformats.org/officeDocument/2006/relationships/hyperlink" Target="https://www.hse.ru/studyspravka/NauchSotru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D205-80A4-4E27-B334-2D0882D9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Пермякова Екатерина Андреевна</dc:creator>
  <cp:lastModifiedBy>Пользователь Windows</cp:lastModifiedBy>
  <cp:revision>13</cp:revision>
  <cp:lastPrinted>2016-06-27T12:51:00Z</cp:lastPrinted>
  <dcterms:created xsi:type="dcterms:W3CDTF">2016-06-08T12:05:00Z</dcterms:created>
  <dcterms:modified xsi:type="dcterms:W3CDTF">2016-07-15T13:26:00Z</dcterms:modified>
</cp:coreProperties>
</file>