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46" w:rsidRPr="00FB0F46" w:rsidRDefault="00FB0F46" w:rsidP="00FB0F46">
      <w:pPr>
        <w:spacing w:after="0" w:line="360" w:lineRule="auto"/>
        <w:ind w:left="7080" w:firstLine="708"/>
        <w:jc w:val="right"/>
        <w:outlineLvl w:val="0"/>
        <w:rPr>
          <w:rFonts w:ascii="Times New Roman" w:hAnsi="Times New Roman" w:cs="Times New Roman"/>
          <w:b/>
          <w:bCs/>
          <w:sz w:val="24"/>
          <w:szCs w:val="24"/>
        </w:rPr>
      </w:pPr>
      <w:r w:rsidRPr="00FB0F46">
        <w:rPr>
          <w:rFonts w:ascii="Times New Roman" w:hAnsi="Times New Roman" w:cs="Times New Roman"/>
          <w:b/>
          <w:bCs/>
          <w:sz w:val="24"/>
          <w:szCs w:val="24"/>
        </w:rPr>
        <w:t>УТВЕРЖДЕН</w:t>
      </w:r>
    </w:p>
    <w:p w:rsidR="00A3219E" w:rsidRPr="00A3219E" w:rsidRDefault="00A3219E" w:rsidP="00A3219E">
      <w:pPr>
        <w:spacing w:line="240" w:lineRule="auto"/>
        <w:ind w:left="5245"/>
        <w:jc w:val="right"/>
        <w:rPr>
          <w:rFonts w:ascii="Times New Roman" w:hAnsi="Times New Roman" w:cs="Times New Roman"/>
          <w:sz w:val="24"/>
          <w:szCs w:val="24"/>
        </w:rPr>
      </w:pPr>
      <w:r w:rsidRPr="00A3219E">
        <w:rPr>
          <w:rFonts w:ascii="Times New Roman" w:hAnsi="Times New Roman" w:cs="Times New Roman"/>
          <w:sz w:val="24"/>
          <w:szCs w:val="24"/>
        </w:rPr>
        <w:t>Заседанием учёного совета факультета социальных наук НИУ ВШЭ</w:t>
      </w:r>
    </w:p>
    <w:p w:rsidR="00A3219E" w:rsidRPr="00A3219E" w:rsidRDefault="00A3219E" w:rsidP="00A3219E">
      <w:pPr>
        <w:spacing w:line="240" w:lineRule="auto"/>
        <w:ind w:left="5664"/>
        <w:jc w:val="right"/>
        <w:rPr>
          <w:rFonts w:ascii="Times New Roman" w:hAnsi="Times New Roman" w:cs="Times New Roman"/>
          <w:sz w:val="24"/>
          <w:szCs w:val="24"/>
        </w:rPr>
      </w:pPr>
      <w:r w:rsidRPr="00A3219E">
        <w:rPr>
          <w:rFonts w:ascii="Times New Roman" w:hAnsi="Times New Roman" w:cs="Times New Roman"/>
          <w:sz w:val="24"/>
          <w:szCs w:val="24"/>
        </w:rPr>
        <w:t xml:space="preserve">Протокол от 17.10.2019 г. №32 </w:t>
      </w:r>
    </w:p>
    <w:p w:rsidR="0015620C" w:rsidRPr="00FB0F46" w:rsidRDefault="0015620C">
      <w:pPr>
        <w:pStyle w:val="a0"/>
        <w:spacing w:after="0" w:line="360" w:lineRule="atLeast"/>
        <w:ind w:left="7080" w:firstLine="708"/>
        <w:jc w:val="right"/>
        <w:rPr>
          <w:rFonts w:ascii="Times New Roman" w:hAnsi="Times New Roman"/>
          <w:sz w:val="24"/>
          <w:szCs w:val="24"/>
        </w:rPr>
      </w:pPr>
    </w:p>
    <w:p w:rsidR="0015620C" w:rsidRPr="00FB0F46" w:rsidRDefault="0015620C">
      <w:pPr>
        <w:pStyle w:val="a0"/>
        <w:spacing w:after="0" w:line="360" w:lineRule="atLeast"/>
        <w:jc w:val="center"/>
        <w:rPr>
          <w:rFonts w:ascii="Times New Roman" w:hAnsi="Times New Roman"/>
          <w:sz w:val="24"/>
          <w:szCs w:val="24"/>
        </w:rPr>
      </w:pPr>
    </w:p>
    <w:p w:rsidR="0015620C" w:rsidRPr="00FB0F46" w:rsidRDefault="0015620C">
      <w:pPr>
        <w:pStyle w:val="a0"/>
        <w:spacing w:after="0" w:line="360" w:lineRule="atLeast"/>
        <w:rPr>
          <w:rFonts w:ascii="Times New Roman" w:hAnsi="Times New Roman"/>
          <w:sz w:val="24"/>
          <w:szCs w:val="24"/>
        </w:rPr>
      </w:pPr>
    </w:p>
    <w:p w:rsidR="0015620C" w:rsidRPr="00FB0F46" w:rsidRDefault="0015620C">
      <w:pPr>
        <w:pStyle w:val="a0"/>
        <w:spacing w:after="0" w:line="360" w:lineRule="atLeast"/>
        <w:rPr>
          <w:rFonts w:ascii="Times New Roman" w:hAnsi="Times New Roman"/>
          <w:sz w:val="24"/>
          <w:szCs w:val="24"/>
        </w:rPr>
      </w:pPr>
    </w:p>
    <w:p w:rsidR="0015620C" w:rsidRPr="00FB0F46" w:rsidRDefault="0015620C">
      <w:pPr>
        <w:pStyle w:val="a0"/>
        <w:spacing w:after="0" w:line="360" w:lineRule="atLeast"/>
        <w:jc w:val="center"/>
        <w:rPr>
          <w:rFonts w:ascii="Times New Roman" w:hAnsi="Times New Roman"/>
          <w:sz w:val="24"/>
          <w:szCs w:val="24"/>
        </w:rPr>
      </w:pPr>
      <w:bookmarkStart w:id="0" w:name="_GoBack"/>
      <w:bookmarkEnd w:id="0"/>
    </w:p>
    <w:p w:rsidR="00FB0F46" w:rsidRPr="00FB0F46" w:rsidRDefault="00FB0F46">
      <w:pPr>
        <w:pStyle w:val="a0"/>
        <w:spacing w:after="0" w:line="360" w:lineRule="atLeast"/>
        <w:jc w:val="center"/>
        <w:rPr>
          <w:rFonts w:ascii="Times New Roman" w:hAnsi="Times New Roman"/>
          <w:sz w:val="24"/>
          <w:szCs w:val="24"/>
        </w:rPr>
      </w:pPr>
    </w:p>
    <w:p w:rsidR="00FB0F46" w:rsidRPr="00FB0F46" w:rsidRDefault="00FB0F46">
      <w:pPr>
        <w:pStyle w:val="a0"/>
        <w:spacing w:after="0" w:line="360" w:lineRule="atLeast"/>
        <w:jc w:val="center"/>
        <w:rPr>
          <w:rFonts w:ascii="Times New Roman" w:hAnsi="Times New Roman"/>
          <w:sz w:val="24"/>
          <w:szCs w:val="24"/>
        </w:rPr>
      </w:pPr>
    </w:p>
    <w:p w:rsidR="00FB0F46" w:rsidRPr="00FB0F46" w:rsidRDefault="00FB0F46">
      <w:pPr>
        <w:pStyle w:val="a0"/>
        <w:spacing w:after="0" w:line="360" w:lineRule="atLeast"/>
        <w:jc w:val="center"/>
        <w:rPr>
          <w:rFonts w:ascii="Times New Roman" w:hAnsi="Times New Roman"/>
          <w:sz w:val="24"/>
          <w:szCs w:val="24"/>
        </w:rPr>
      </w:pPr>
    </w:p>
    <w:p w:rsidR="0015620C" w:rsidRPr="00FB0F46" w:rsidRDefault="0015620C">
      <w:pPr>
        <w:pStyle w:val="a0"/>
        <w:spacing w:after="0" w:line="360" w:lineRule="atLeast"/>
        <w:jc w:val="center"/>
        <w:rPr>
          <w:rFonts w:ascii="Times New Roman" w:hAnsi="Times New Roman"/>
          <w:sz w:val="24"/>
          <w:szCs w:val="24"/>
        </w:rPr>
      </w:pPr>
    </w:p>
    <w:p w:rsidR="0015620C" w:rsidRPr="00FB0F46" w:rsidRDefault="008C6402">
      <w:pPr>
        <w:pStyle w:val="a0"/>
        <w:spacing w:after="0" w:line="360" w:lineRule="atLeast"/>
        <w:jc w:val="center"/>
        <w:rPr>
          <w:rFonts w:ascii="Times New Roman" w:hAnsi="Times New Roman"/>
          <w:sz w:val="24"/>
          <w:szCs w:val="24"/>
        </w:rPr>
      </w:pPr>
      <w:r w:rsidRPr="00FB0F46">
        <w:rPr>
          <w:rFonts w:ascii="Times New Roman" w:hAnsi="Times New Roman"/>
          <w:b/>
          <w:bCs/>
          <w:sz w:val="24"/>
          <w:szCs w:val="24"/>
        </w:rPr>
        <w:t>ПОРЯДОК</w:t>
      </w:r>
    </w:p>
    <w:p w:rsidR="0015620C" w:rsidRPr="00FB0F46" w:rsidRDefault="008C6402">
      <w:pPr>
        <w:pStyle w:val="afd"/>
        <w:spacing w:line="360" w:lineRule="atLeast"/>
        <w:jc w:val="center"/>
        <w:rPr>
          <w:rFonts w:ascii="Times New Roman" w:hAnsi="Times New Roman" w:cs="Times New Roman"/>
          <w:sz w:val="24"/>
          <w:szCs w:val="24"/>
        </w:rPr>
      </w:pPr>
      <w:r w:rsidRPr="00FB0F46">
        <w:rPr>
          <w:rFonts w:ascii="Times New Roman" w:hAnsi="Times New Roman" w:cs="Times New Roman"/>
          <w:b/>
          <w:sz w:val="24"/>
          <w:szCs w:val="24"/>
        </w:rPr>
        <w:t xml:space="preserve">перевода студентов магистратуры Национального исследовательского университета «Высшая школа экономики» и студентов магистратуры других образовательных организаций на образовательную программу магистратуры «Когнитивные науки и технологии: от нейрона к познанию» факультета социальных наук </w:t>
      </w:r>
    </w:p>
    <w:p w:rsidR="0015620C" w:rsidRPr="00FB0F46" w:rsidRDefault="008C6402">
      <w:pPr>
        <w:pStyle w:val="afd"/>
        <w:spacing w:line="360" w:lineRule="atLeast"/>
        <w:jc w:val="center"/>
        <w:rPr>
          <w:rFonts w:ascii="Times New Roman" w:hAnsi="Times New Roman" w:cs="Times New Roman"/>
          <w:sz w:val="24"/>
          <w:szCs w:val="24"/>
        </w:rPr>
      </w:pPr>
      <w:r w:rsidRPr="00FB0F46">
        <w:rPr>
          <w:rFonts w:ascii="Times New Roman" w:hAnsi="Times New Roman" w:cs="Times New Roman"/>
          <w:b/>
          <w:sz w:val="24"/>
          <w:szCs w:val="24"/>
        </w:rPr>
        <w:t>НИУ ВШЭ</w:t>
      </w: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8C6402">
      <w:pPr>
        <w:pStyle w:val="a0"/>
        <w:tabs>
          <w:tab w:val="left" w:pos="8060"/>
        </w:tabs>
        <w:rPr>
          <w:rFonts w:ascii="Times New Roman" w:hAnsi="Times New Roman"/>
          <w:sz w:val="24"/>
          <w:szCs w:val="24"/>
        </w:rPr>
      </w:pPr>
      <w:r w:rsidRPr="00FB0F46">
        <w:rPr>
          <w:rFonts w:ascii="Times New Roman" w:hAnsi="Times New Roman"/>
          <w:sz w:val="24"/>
          <w:szCs w:val="24"/>
        </w:rPr>
        <w:tab/>
      </w: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rPr>
          <w:rFonts w:ascii="Times New Roman" w:hAnsi="Times New Roman"/>
          <w:sz w:val="24"/>
          <w:szCs w:val="24"/>
        </w:rPr>
      </w:pPr>
    </w:p>
    <w:p w:rsidR="0015620C" w:rsidRPr="00FB0F46" w:rsidRDefault="0015620C">
      <w:pPr>
        <w:pStyle w:val="a0"/>
        <w:jc w:val="center"/>
        <w:rPr>
          <w:rFonts w:ascii="Times New Roman" w:hAnsi="Times New Roman"/>
          <w:sz w:val="24"/>
          <w:szCs w:val="24"/>
        </w:rPr>
      </w:pPr>
    </w:p>
    <w:p w:rsidR="00FB0F46" w:rsidRPr="00FB0F46" w:rsidRDefault="00FB0F46">
      <w:pPr>
        <w:pStyle w:val="a0"/>
        <w:jc w:val="center"/>
        <w:rPr>
          <w:rFonts w:ascii="Times New Roman" w:hAnsi="Times New Roman"/>
          <w:sz w:val="24"/>
          <w:szCs w:val="24"/>
        </w:rPr>
      </w:pPr>
    </w:p>
    <w:p w:rsidR="0015620C" w:rsidRPr="00FB0F46" w:rsidRDefault="0015620C">
      <w:pPr>
        <w:pStyle w:val="a0"/>
        <w:jc w:val="center"/>
        <w:rPr>
          <w:rFonts w:ascii="Times New Roman" w:hAnsi="Times New Roman"/>
          <w:sz w:val="24"/>
          <w:szCs w:val="24"/>
        </w:rPr>
      </w:pPr>
    </w:p>
    <w:p w:rsidR="0015620C" w:rsidRPr="00FB0F46" w:rsidRDefault="00FB0F46">
      <w:pPr>
        <w:pStyle w:val="a0"/>
        <w:jc w:val="center"/>
        <w:rPr>
          <w:rFonts w:ascii="Times New Roman" w:hAnsi="Times New Roman"/>
          <w:sz w:val="24"/>
          <w:szCs w:val="24"/>
        </w:rPr>
      </w:pPr>
      <w:r w:rsidRPr="00FB0F46">
        <w:rPr>
          <w:rFonts w:ascii="Times New Roman" w:hAnsi="Times New Roman"/>
          <w:sz w:val="24"/>
          <w:szCs w:val="24"/>
        </w:rPr>
        <w:t>Москва – 2019</w:t>
      </w:r>
    </w:p>
    <w:p w:rsidR="0015620C" w:rsidRPr="00FB0F46" w:rsidRDefault="008C6402">
      <w:pPr>
        <w:pStyle w:val="13"/>
        <w:numPr>
          <w:ilvl w:val="0"/>
          <w:numId w:val="1"/>
        </w:numPr>
        <w:spacing w:before="240" w:after="240" w:line="360" w:lineRule="atLeast"/>
        <w:ind w:left="0" w:firstLine="0"/>
        <w:jc w:val="center"/>
        <w:rPr>
          <w:rFonts w:ascii="Times New Roman" w:hAnsi="Times New Roman" w:cs="Times New Roman"/>
          <w:sz w:val="24"/>
          <w:szCs w:val="24"/>
        </w:rPr>
      </w:pPr>
      <w:r w:rsidRPr="00FB0F46">
        <w:rPr>
          <w:rFonts w:ascii="Times New Roman" w:hAnsi="Times New Roman" w:cs="Times New Roman"/>
          <w:b/>
          <w:sz w:val="24"/>
          <w:szCs w:val="24"/>
        </w:rPr>
        <w:lastRenderedPageBreak/>
        <w:t>Общие положения</w:t>
      </w:r>
    </w:p>
    <w:p w:rsidR="0015620C" w:rsidRPr="00FB0F46" w:rsidRDefault="008C6402">
      <w:pPr>
        <w:pStyle w:val="a0"/>
        <w:spacing w:before="240" w:after="240" w:line="360" w:lineRule="atLeast"/>
        <w:jc w:val="both"/>
        <w:rPr>
          <w:rFonts w:ascii="Times New Roman" w:hAnsi="Times New Roman"/>
          <w:sz w:val="24"/>
          <w:szCs w:val="24"/>
        </w:rPr>
      </w:pPr>
      <w:r w:rsidRPr="00FB0F46">
        <w:rPr>
          <w:rFonts w:ascii="Times New Roman" w:hAnsi="Times New Roman"/>
          <w:sz w:val="24"/>
          <w:szCs w:val="24"/>
        </w:rPr>
        <w:t xml:space="preserve">1.1. Настоящий Порядок разработан в соответствии с </w:t>
      </w:r>
      <w:r w:rsidRPr="00FB0F46">
        <w:rPr>
          <w:rFonts w:ascii="Times New Roman" w:hAnsi="Times New Roman"/>
          <w:b/>
          <w:sz w:val="24"/>
          <w:szCs w:val="24"/>
        </w:rPr>
        <w:t xml:space="preserve">Правилами перевода студентов </w:t>
      </w:r>
      <w:proofErr w:type="spellStart"/>
      <w:r w:rsidRPr="00FB0F46">
        <w:rPr>
          <w:rFonts w:ascii="Times New Roman" w:hAnsi="Times New Roman"/>
          <w:b/>
          <w:sz w:val="24"/>
          <w:szCs w:val="24"/>
        </w:rPr>
        <w:t>бакалавриата</w:t>
      </w:r>
      <w:proofErr w:type="spellEnd"/>
      <w:r w:rsidRPr="00FB0F46">
        <w:rPr>
          <w:rFonts w:ascii="Times New Roman" w:hAnsi="Times New Roman"/>
          <w:b/>
          <w:sz w:val="24"/>
          <w:szCs w:val="24"/>
        </w:rPr>
        <w:t xml:space="preserve">, </w:t>
      </w:r>
      <w:proofErr w:type="spellStart"/>
      <w:r w:rsidRPr="00FB0F46">
        <w:rPr>
          <w:rFonts w:ascii="Times New Roman" w:hAnsi="Times New Roman"/>
          <w:b/>
          <w:sz w:val="24"/>
          <w:szCs w:val="24"/>
        </w:rPr>
        <w:t>специалитета</w:t>
      </w:r>
      <w:proofErr w:type="spellEnd"/>
      <w:r w:rsidRPr="00FB0F46">
        <w:rPr>
          <w:rFonts w:ascii="Times New Roman" w:hAnsi="Times New Roman"/>
          <w:b/>
          <w:sz w:val="24"/>
          <w:szCs w:val="24"/>
        </w:rPr>
        <w:t xml:space="preserve">, магистратуры Национального исследовательского университета «Высшая школа экономики» и студентов </w:t>
      </w:r>
      <w:proofErr w:type="spellStart"/>
      <w:r w:rsidRPr="00FB0F46">
        <w:rPr>
          <w:rFonts w:ascii="Times New Roman" w:hAnsi="Times New Roman"/>
          <w:b/>
          <w:sz w:val="24"/>
          <w:szCs w:val="24"/>
        </w:rPr>
        <w:t>бакалавриата</w:t>
      </w:r>
      <w:proofErr w:type="spellEnd"/>
      <w:r w:rsidRPr="00FB0F46">
        <w:rPr>
          <w:rFonts w:ascii="Times New Roman" w:hAnsi="Times New Roman"/>
          <w:b/>
          <w:sz w:val="24"/>
          <w:szCs w:val="24"/>
        </w:rPr>
        <w:t xml:space="preserve">, </w:t>
      </w:r>
      <w:proofErr w:type="spellStart"/>
      <w:r w:rsidRPr="00FB0F46">
        <w:rPr>
          <w:rFonts w:ascii="Times New Roman" w:hAnsi="Times New Roman"/>
          <w:b/>
          <w:sz w:val="24"/>
          <w:szCs w:val="24"/>
        </w:rPr>
        <w:t>специалитета</w:t>
      </w:r>
      <w:proofErr w:type="spellEnd"/>
      <w:r w:rsidRPr="00FB0F46">
        <w:rPr>
          <w:rFonts w:ascii="Times New Roman" w:hAnsi="Times New Roman"/>
          <w:b/>
          <w:sz w:val="24"/>
          <w:szCs w:val="24"/>
        </w:rPr>
        <w:t>, магистратуры других образовательных организаций в Национальный исследовательский университет «Высшая школа экономики»</w:t>
      </w:r>
      <w:r w:rsidRPr="00FB0F46">
        <w:rPr>
          <w:rFonts w:ascii="Times New Roman" w:hAnsi="Times New Roman"/>
          <w:sz w:val="24"/>
          <w:szCs w:val="24"/>
        </w:rPr>
        <w:t xml:space="preserve"> (далее – </w:t>
      </w:r>
      <w:r w:rsidRPr="00FB0F46">
        <w:rPr>
          <w:rFonts w:ascii="Times New Roman" w:hAnsi="Times New Roman"/>
          <w:b/>
          <w:sz w:val="24"/>
          <w:szCs w:val="24"/>
        </w:rPr>
        <w:t>Правила</w:t>
      </w:r>
      <w:r w:rsidRPr="00FB0F46">
        <w:rPr>
          <w:rFonts w:ascii="Times New Roman" w:hAnsi="Times New Roman"/>
          <w:sz w:val="24"/>
          <w:szCs w:val="24"/>
        </w:rPr>
        <w:t>), утверждёнными ученым советом НИУ ВШЭ (протокол от 23.06.2017 г. № 07).</w:t>
      </w:r>
    </w:p>
    <w:p w:rsidR="0015620C" w:rsidRPr="00FB0F46" w:rsidRDefault="008C6402" w:rsidP="00FB0F46">
      <w:pPr>
        <w:pStyle w:val="13"/>
        <w:spacing w:before="240" w:after="240" w:line="360" w:lineRule="atLeast"/>
        <w:jc w:val="both"/>
        <w:rPr>
          <w:rFonts w:ascii="Times New Roman" w:hAnsi="Times New Roman" w:cs="Times New Roman"/>
          <w:sz w:val="24"/>
          <w:szCs w:val="24"/>
        </w:rPr>
      </w:pPr>
      <w:r w:rsidRPr="00FB0F46">
        <w:rPr>
          <w:rFonts w:ascii="Times New Roman" w:hAnsi="Times New Roman" w:cs="Times New Roman"/>
          <w:sz w:val="24"/>
          <w:szCs w:val="24"/>
        </w:rPr>
        <w:t xml:space="preserve">1.2. Порядок предназначен для студентов магистратуры НИУ ВШЭ и других образовательных организаций, переводящихся на </w:t>
      </w:r>
      <w:r w:rsidRPr="00FB0F46">
        <w:rPr>
          <w:rFonts w:ascii="Times New Roman" w:hAnsi="Times New Roman" w:cs="Times New Roman"/>
          <w:bCs/>
          <w:sz w:val="24"/>
          <w:szCs w:val="24"/>
        </w:rPr>
        <w:t xml:space="preserve">образовательную программу магистратуры </w:t>
      </w:r>
      <w:r w:rsidRPr="00FB0F46">
        <w:rPr>
          <w:rFonts w:ascii="Times New Roman" w:hAnsi="Times New Roman" w:cs="Times New Roman"/>
          <w:sz w:val="24"/>
          <w:szCs w:val="24"/>
        </w:rPr>
        <w:t>«Когнитивные науки и технологии: от нейрона к познанию»</w:t>
      </w:r>
      <w:r w:rsidRPr="00FB0F46">
        <w:rPr>
          <w:rFonts w:ascii="Times New Roman" w:hAnsi="Times New Roman" w:cs="Times New Roman"/>
          <w:bCs/>
          <w:sz w:val="24"/>
          <w:szCs w:val="24"/>
        </w:rPr>
        <w:t>, направления подготовки 37.04.01 «Психология»</w:t>
      </w:r>
      <w:r w:rsidRPr="00FB0F46">
        <w:rPr>
          <w:rFonts w:ascii="Times New Roman" w:hAnsi="Times New Roman" w:cs="Times New Roman"/>
          <w:sz w:val="24"/>
          <w:szCs w:val="24"/>
        </w:rPr>
        <w:t xml:space="preserve"> факультета социальных наук НИУ ВШЭ (далее – </w:t>
      </w:r>
      <w:r w:rsidRPr="00FB0F46">
        <w:rPr>
          <w:rFonts w:ascii="Times New Roman" w:hAnsi="Times New Roman" w:cs="Times New Roman"/>
          <w:b/>
          <w:sz w:val="24"/>
          <w:szCs w:val="24"/>
        </w:rPr>
        <w:t>МП «Когнитивные науки и технологии: от нейрона к познанию»</w:t>
      </w:r>
      <w:r w:rsidRPr="00FB0F46">
        <w:rPr>
          <w:rFonts w:ascii="Times New Roman" w:hAnsi="Times New Roman" w:cs="Times New Roman"/>
          <w:sz w:val="24"/>
          <w:szCs w:val="24"/>
        </w:rPr>
        <w:t>).</w:t>
      </w:r>
    </w:p>
    <w:p w:rsidR="0015620C" w:rsidRPr="00FB0F46" w:rsidRDefault="008C6402">
      <w:pPr>
        <w:pStyle w:val="a0"/>
        <w:tabs>
          <w:tab w:val="left" w:pos="0"/>
          <w:tab w:val="left" w:pos="284"/>
          <w:tab w:val="left" w:pos="426"/>
          <w:tab w:val="left" w:pos="567"/>
          <w:tab w:val="left" w:pos="851"/>
          <w:tab w:val="left" w:pos="993"/>
          <w:tab w:val="left" w:pos="1134"/>
        </w:tabs>
        <w:spacing w:before="240" w:after="240" w:line="360" w:lineRule="atLeast"/>
        <w:jc w:val="both"/>
        <w:rPr>
          <w:rFonts w:ascii="Times New Roman" w:hAnsi="Times New Roman"/>
          <w:sz w:val="24"/>
          <w:szCs w:val="24"/>
        </w:rPr>
      </w:pPr>
      <w:r w:rsidRPr="00FB0F46">
        <w:rPr>
          <w:rFonts w:ascii="Times New Roman" w:hAnsi="Times New Roman"/>
          <w:sz w:val="24"/>
          <w:szCs w:val="24"/>
        </w:rPr>
        <w:t>1.3. В соответствии с требованиями настоящего Порядка осуществляется:</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sz w:val="24"/>
          <w:szCs w:val="24"/>
        </w:rPr>
        <w:t xml:space="preserve">перевод студентов других образовательных организаций, включая иностранные образовательные организации на МП «Когнитивные науки и технологии: от нейрона к познанию»; </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sz w:val="24"/>
          <w:szCs w:val="24"/>
        </w:rPr>
        <w:t xml:space="preserve">перевод студентов других образовательных программ (далее – </w:t>
      </w:r>
      <w:r w:rsidRPr="00FB0F46">
        <w:rPr>
          <w:rFonts w:ascii="Times New Roman" w:hAnsi="Times New Roman"/>
          <w:b/>
          <w:sz w:val="24"/>
          <w:szCs w:val="24"/>
        </w:rPr>
        <w:t>ОП</w:t>
      </w:r>
      <w:r w:rsidRPr="00FB0F46">
        <w:rPr>
          <w:rFonts w:ascii="Times New Roman" w:hAnsi="Times New Roman"/>
          <w:sz w:val="24"/>
          <w:szCs w:val="24"/>
        </w:rPr>
        <w:t>) на МП «Когнитивные науки и технологии: от нейрона к познанию».</w:t>
      </w:r>
    </w:p>
    <w:p w:rsidR="0015620C" w:rsidRPr="00FB0F46" w:rsidRDefault="008C6402">
      <w:pPr>
        <w:pStyle w:val="1"/>
        <w:tabs>
          <w:tab w:val="left" w:pos="284"/>
        </w:tabs>
        <w:spacing w:before="240" w:after="240" w:line="360" w:lineRule="atLeast"/>
        <w:jc w:val="center"/>
        <w:rPr>
          <w:rFonts w:ascii="Times New Roman" w:hAnsi="Times New Roman"/>
          <w:sz w:val="24"/>
          <w:szCs w:val="24"/>
        </w:rPr>
      </w:pPr>
      <w:bookmarkStart w:id="1" w:name="_Toc486007843"/>
      <w:r w:rsidRPr="00FB0F46">
        <w:rPr>
          <w:rFonts w:ascii="Times New Roman" w:hAnsi="Times New Roman"/>
          <w:color w:val="000000"/>
          <w:sz w:val="24"/>
          <w:szCs w:val="24"/>
        </w:rPr>
        <w:t xml:space="preserve">2. Порядок определения количества мест для перевода </w:t>
      </w:r>
      <w:bookmarkEnd w:id="1"/>
      <w:r w:rsidRPr="00FB0F46">
        <w:rPr>
          <w:rFonts w:ascii="Times New Roman" w:hAnsi="Times New Roman"/>
          <w:color w:val="000000"/>
          <w:sz w:val="24"/>
          <w:szCs w:val="24"/>
        </w:rPr>
        <w:t>и сроки перевода</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2.1. Перевод для обучения по МП «Когнитивные науки и технологии: от нейрона к познанию» осуществляется на вакантные бюджетные и платные места для перевода.</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Количество вакантных бюджетных и платных мест для перевода на каждом курсе МП «Когнитивные науки и технологии: от нейрона к познанию» определяется таким образом, чтобы это не приводило к увеличению количества академических групп на текущий учебный год</w:t>
      </w:r>
      <w:r w:rsidRPr="00FB0F46">
        <w:rPr>
          <w:rStyle w:val="ae"/>
          <w:rFonts w:ascii="Times New Roman" w:hAnsi="Times New Roman"/>
          <w:sz w:val="24"/>
          <w:szCs w:val="24"/>
          <w:vertAlign w:val="superscript"/>
        </w:rPr>
        <w:footnoteReference w:id="1"/>
      </w:r>
      <w:r w:rsidRPr="00FB0F46">
        <w:rPr>
          <w:rFonts w:ascii="Times New Roman" w:hAnsi="Times New Roman"/>
          <w:sz w:val="24"/>
          <w:szCs w:val="24"/>
        </w:rPr>
        <w:t>.</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2.2. Академический совет МП «Когнитивные науки и технологии: от нейрона к познанию» в установленные настоящим Порядком сроки определяет количество вакантных мест для перевода, на которые могут претендовать студенты МП «Когнитивные науки и технологии: от нейрона к познанию», других образовательных программ НИУ ВШЭ, и других образовательных организаций.</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lastRenderedPageBreak/>
        <w:t>2.3. Студенты, претендующие на перевод на МП «Когнитивные науки и технологии: от нейрона к познанию» с других ОП НИУ ВШЭ или из других образовательных организаций, могут претендовать на зачисление на вакантные бюджетные места для перевода только при условии отсутствия академических задолженностей. Студенты, имеющие академические задолженности, могут претендовать только на платные вакантные места МП «Когнитивные науки и технологии: от нейрона к познанию» для перевода.</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2.4.  При наличии на МП «Когнитивные науки и технологии: от нейрона к познанию» коммерческих студентов, желающих перейти на вакантное бюджетное место, либо коммерческих иностранных студентов, желающих перейти на вакантное место, обеспеченное квотным государственным финансированием, МП «Когнитивные науки и технологии: от нейрона к познанию» осуществит их перевод на такие места в порядке приоритета перед кандидатами из других образовательных организаций или других ОП.</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2.5. Информация о количестве вакантных мест для перевода размещается в специализированном разделе сайта МП «Когнитивные науки и технологии: от нейрона к познанию» – «Число студентов и вакантные места» (далее – специализированный раздел сайта) на сайте (портале) НИУ ВШЭ не позднее 01 июня и 01 декабря.</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2.6. Перевод студентов МП «Когнитивные науки и технологии: от нейрона к познанию» осуществляется только в декабре по результатам 1-го семестра. Далее перевод невозможен, т.к. программа является специфичной и узконаправленной. Все курсы в учебном плане программы связаны единой логикой. В случае, если студент пропустил более чем один модуль, восполнить знания необходимые для дальнейшего обучения уже не представляется возможным. Прием заявлений о переводе на МП «Когнитивные науки и технологии: от нейрона к познанию» проводится с 01 по 15 число текущего периода перевода.</w:t>
      </w:r>
    </w:p>
    <w:p w:rsidR="0015620C" w:rsidRPr="00FB0F46" w:rsidRDefault="008C6402">
      <w:pPr>
        <w:pStyle w:val="a0"/>
        <w:tabs>
          <w:tab w:val="left" w:pos="0"/>
          <w:tab w:val="left" w:pos="567"/>
          <w:tab w:val="left" w:pos="851"/>
          <w:tab w:val="left" w:pos="1276"/>
        </w:tabs>
        <w:spacing w:before="240" w:after="240" w:line="360" w:lineRule="atLeast"/>
        <w:jc w:val="center"/>
        <w:rPr>
          <w:rFonts w:ascii="Times New Roman" w:hAnsi="Times New Roman"/>
          <w:sz w:val="24"/>
          <w:szCs w:val="24"/>
        </w:rPr>
      </w:pPr>
      <w:r w:rsidRPr="00FB0F46">
        <w:rPr>
          <w:rFonts w:ascii="Times New Roman" w:hAnsi="Times New Roman"/>
          <w:b/>
          <w:color w:val="000000"/>
          <w:sz w:val="24"/>
          <w:szCs w:val="24"/>
        </w:rPr>
        <w:t>3. Организация перевода студентов и порядок проведения аттестации</w:t>
      </w:r>
    </w:p>
    <w:p w:rsidR="0015620C" w:rsidRPr="00FB0F46" w:rsidRDefault="008C6402">
      <w:pPr>
        <w:pStyle w:val="a0"/>
        <w:tabs>
          <w:tab w:val="left" w:pos="0"/>
          <w:tab w:val="left" w:pos="142"/>
          <w:tab w:val="left" w:pos="851"/>
          <w:tab w:val="left" w:pos="1134"/>
          <w:tab w:val="left" w:pos="1701"/>
        </w:tabs>
        <w:spacing w:before="240" w:after="240" w:line="360" w:lineRule="atLeast"/>
        <w:jc w:val="both"/>
        <w:rPr>
          <w:rFonts w:ascii="Times New Roman" w:hAnsi="Times New Roman"/>
          <w:sz w:val="24"/>
          <w:szCs w:val="24"/>
        </w:rPr>
      </w:pPr>
      <w:r w:rsidRPr="00FB0F46">
        <w:rPr>
          <w:rFonts w:ascii="Times New Roman" w:hAnsi="Times New Roman"/>
          <w:sz w:val="24"/>
          <w:szCs w:val="24"/>
        </w:rPr>
        <w:t>3.1. В соответствии с Правилами перевода студентов для принятия решения о возможности перевода на МП «Когнитивные науки и технологии: от нейрона к познанию», академический руководитель МП «Когнитивные науки и технологии: от нейрона к познанию» привлекает аттестационную комиссию образовательной программы для поведения аттестации студентов.</w:t>
      </w:r>
    </w:p>
    <w:p w:rsidR="0015620C" w:rsidRPr="00FB0F46" w:rsidRDefault="008C6402">
      <w:pPr>
        <w:pStyle w:val="a0"/>
        <w:spacing w:after="0" w:line="360" w:lineRule="atLeast"/>
        <w:jc w:val="both"/>
        <w:rPr>
          <w:rFonts w:ascii="Times New Roman" w:hAnsi="Times New Roman"/>
          <w:sz w:val="24"/>
          <w:szCs w:val="24"/>
        </w:rPr>
      </w:pPr>
      <w:r w:rsidRPr="00FB0F46">
        <w:rPr>
          <w:rFonts w:ascii="Times New Roman" w:hAnsi="Times New Roman"/>
          <w:sz w:val="24"/>
          <w:szCs w:val="24"/>
        </w:rPr>
        <w:t>3.2. Для осуществления перевода на МП «Когнитивные науки и технологии: от нейрона к познанию» аттестационная комиссия проводит аттестацию в форме рассмотрения необходимых для перевода документов, предоставленных студентом, претендующим на перевод на МП «Когнитивные науки и технологии: от нейрона к познанию»:</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диплом о высшем образовании и приложение к диплому;</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резюме (на английском языке);</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lastRenderedPageBreak/>
        <w:t>мотивационное письмо (на английском языке);</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справка об успеваемости на предыдущем месте учебы в магистратуре;</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 xml:space="preserve">научный проект или текст ВКР бакалавра (специалиста); </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опционально - два рекомендательных письма (одно от научного руководителя или преподавателя);</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опционально – список публикаций;</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 xml:space="preserve">студентам, для которых английский язык не является родным, необходимо предоставить один из сертификатов: TOEFL PBT – 500; TOEFL IBT – 80; </w:t>
      </w:r>
      <w:proofErr w:type="spellStart"/>
      <w:r w:rsidRPr="00FB0F46">
        <w:rPr>
          <w:rFonts w:ascii="Times New Roman" w:hAnsi="Times New Roman"/>
          <w:iCs/>
          <w:color w:val="212121"/>
          <w:sz w:val="24"/>
          <w:szCs w:val="24"/>
        </w:rPr>
        <w:t>Academic</w:t>
      </w:r>
      <w:proofErr w:type="spellEnd"/>
      <w:r w:rsidRPr="00FB0F46">
        <w:rPr>
          <w:rFonts w:ascii="Times New Roman" w:hAnsi="Times New Roman"/>
          <w:iCs/>
          <w:color w:val="212121"/>
          <w:sz w:val="24"/>
          <w:szCs w:val="24"/>
        </w:rPr>
        <w:t xml:space="preserve"> IELTS – 6.0 или выше.</w:t>
      </w:r>
    </w:p>
    <w:p w:rsidR="0015620C" w:rsidRPr="00FB0F46" w:rsidRDefault="008C6402">
      <w:pPr>
        <w:pStyle w:val="inbox-inbox-m-9132033570937374834msolistparagraph"/>
        <w:spacing w:after="0" w:line="360" w:lineRule="atLeast"/>
        <w:rPr>
          <w:rFonts w:ascii="Times New Roman" w:hAnsi="Times New Roman"/>
          <w:sz w:val="24"/>
          <w:szCs w:val="24"/>
        </w:rPr>
      </w:pPr>
      <w:r w:rsidRPr="00FB0F46">
        <w:rPr>
          <w:rFonts w:ascii="Times New Roman" w:hAnsi="Times New Roman"/>
          <w:sz w:val="24"/>
          <w:szCs w:val="24"/>
        </w:rPr>
        <w:t>Более подробное описание требуемых документов студент может найти в правилах приема на МП «Когнитивные науки и технологии: от нейрона к познанию» («Состав портфолио»).</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3.3. В обязательном порядке проводится переаттестация по следующим дисциплинам МП «Когнитивные науки и технологии: от нейрона к познанию»: «Линейная алгебра» и «Математический анализ», в случае, если студент не слушал данные курсы в НИУ ВШЭ или имеет оценку ниже 6 (из 10). В случае если студент прослушал курсы «Линейная алгебра» и «Математический анализ» в НИУ ВШЭ и имеет оценку 6 (из 10) или выше, переаттестация не проводится.</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3.4. Аттестационная комиссия, состоящая из представителей МП «Когнитивные науки и технологии: от нейрона к познанию», оценивает степень достаточности знаний и навыков студента для успешного прохождения образовательной программы. Критерием успешной переаттестации по обязательным для этого дисциплинам является получение оценки по каждой из таких дисциплин не ниже удовлетворительной.</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 xml:space="preserve">3.5. Дисциплина, изученная в рамках другой образовательной программы, считается </w:t>
      </w:r>
      <w:proofErr w:type="spellStart"/>
      <w:r w:rsidRPr="00FB0F46">
        <w:rPr>
          <w:rFonts w:ascii="Times New Roman" w:hAnsi="Times New Roman"/>
          <w:sz w:val="24"/>
          <w:szCs w:val="24"/>
        </w:rPr>
        <w:t>перезачтенной</w:t>
      </w:r>
      <w:proofErr w:type="spellEnd"/>
      <w:r w:rsidRPr="00FB0F46">
        <w:rPr>
          <w:rFonts w:ascii="Times New Roman" w:hAnsi="Times New Roman"/>
          <w:sz w:val="24"/>
          <w:szCs w:val="24"/>
        </w:rPr>
        <w:t>, если:</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iCs/>
          <w:color w:val="212121"/>
          <w:sz w:val="24"/>
          <w:szCs w:val="24"/>
        </w:rPr>
        <w:t xml:space="preserve">Полностью или в достаточной мере совпадают названия </w:t>
      </w:r>
      <w:proofErr w:type="spellStart"/>
      <w:r w:rsidRPr="00FB0F46">
        <w:rPr>
          <w:rFonts w:ascii="Times New Roman" w:hAnsi="Times New Roman"/>
          <w:iCs/>
          <w:color w:val="212121"/>
          <w:sz w:val="24"/>
          <w:szCs w:val="24"/>
        </w:rPr>
        <w:t>перезачитываемой</w:t>
      </w:r>
      <w:proofErr w:type="spellEnd"/>
      <w:r w:rsidRPr="00FB0F46">
        <w:rPr>
          <w:rFonts w:ascii="Times New Roman" w:hAnsi="Times New Roman"/>
          <w:iCs/>
          <w:color w:val="212121"/>
          <w:sz w:val="24"/>
          <w:szCs w:val="24"/>
        </w:rPr>
        <w:t xml:space="preserve"> дисциплины и дисциплины в РУП </w:t>
      </w:r>
      <w:r w:rsidRPr="00FB0F46">
        <w:rPr>
          <w:rFonts w:ascii="Times New Roman" w:hAnsi="Times New Roman"/>
          <w:sz w:val="24"/>
          <w:szCs w:val="24"/>
        </w:rPr>
        <w:t>МП «Когнитивные науки и технологии: от нейрона к познанию»</w:t>
      </w:r>
      <w:r w:rsidRPr="00FB0F46">
        <w:rPr>
          <w:rFonts w:ascii="Times New Roman" w:hAnsi="Times New Roman"/>
          <w:iCs/>
          <w:color w:val="212121"/>
          <w:sz w:val="24"/>
          <w:szCs w:val="24"/>
        </w:rPr>
        <w:t>.</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sz w:val="24"/>
          <w:szCs w:val="24"/>
        </w:rPr>
        <w:t xml:space="preserve">Общий объем часов/количество зачетных единиц </w:t>
      </w:r>
      <w:proofErr w:type="spellStart"/>
      <w:r w:rsidRPr="00FB0F46">
        <w:rPr>
          <w:rFonts w:ascii="Times New Roman" w:hAnsi="Times New Roman"/>
          <w:sz w:val="24"/>
          <w:szCs w:val="24"/>
        </w:rPr>
        <w:t>перезачитываемой</w:t>
      </w:r>
      <w:proofErr w:type="spellEnd"/>
      <w:r w:rsidRPr="00FB0F46">
        <w:rPr>
          <w:rFonts w:ascii="Times New Roman" w:hAnsi="Times New Roman"/>
          <w:sz w:val="24"/>
          <w:szCs w:val="24"/>
        </w:rPr>
        <w:t xml:space="preserve"> дисциплины полностью соответствует (или отклоняется не более чем на 20%) общему объему/количеству зачетных единиц дисциплины в РУП МП «Когнитивные науки и технологии: от нейрона к познанию».</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sz w:val="24"/>
          <w:szCs w:val="24"/>
        </w:rPr>
        <w:t xml:space="preserve">Содержание </w:t>
      </w:r>
      <w:proofErr w:type="spellStart"/>
      <w:r w:rsidRPr="00FB0F46">
        <w:rPr>
          <w:rFonts w:ascii="Times New Roman" w:hAnsi="Times New Roman"/>
          <w:sz w:val="24"/>
          <w:szCs w:val="24"/>
        </w:rPr>
        <w:t>перезачитываемой</w:t>
      </w:r>
      <w:proofErr w:type="spellEnd"/>
      <w:r w:rsidRPr="00FB0F46">
        <w:rPr>
          <w:rFonts w:ascii="Times New Roman" w:hAnsi="Times New Roman"/>
          <w:sz w:val="24"/>
          <w:szCs w:val="24"/>
        </w:rPr>
        <w:t xml:space="preserve"> дисциплины соответствует содержанию дисциплины в РУП. Степень соответствия определяется аттестационной комиссией с участием преподавателя дисциплины, преподаваемой на МП «Когнитивные науки и технологии: от нейрона к познанию».</w:t>
      </w:r>
    </w:p>
    <w:p w:rsidR="0015620C" w:rsidRPr="00FB0F46" w:rsidRDefault="008C6402">
      <w:pPr>
        <w:pStyle w:val="inbox-inbox-m-9132033570937374834msolistparagraph"/>
        <w:numPr>
          <w:ilvl w:val="0"/>
          <w:numId w:val="2"/>
        </w:numPr>
        <w:spacing w:before="28" w:after="28" w:line="360" w:lineRule="atLeast"/>
        <w:jc w:val="both"/>
        <w:rPr>
          <w:rFonts w:ascii="Times New Roman" w:hAnsi="Times New Roman"/>
          <w:sz w:val="24"/>
          <w:szCs w:val="24"/>
        </w:rPr>
      </w:pPr>
      <w:r w:rsidRPr="00FB0F46">
        <w:rPr>
          <w:rFonts w:ascii="Times New Roman" w:hAnsi="Times New Roman"/>
          <w:sz w:val="24"/>
          <w:szCs w:val="24"/>
        </w:rPr>
        <w:lastRenderedPageBreak/>
        <w:t xml:space="preserve">Форма промежуточной аттестации по </w:t>
      </w:r>
      <w:proofErr w:type="spellStart"/>
      <w:r w:rsidRPr="00FB0F46">
        <w:rPr>
          <w:rFonts w:ascii="Times New Roman" w:hAnsi="Times New Roman"/>
          <w:sz w:val="24"/>
          <w:szCs w:val="24"/>
        </w:rPr>
        <w:t>перезачитываемой</w:t>
      </w:r>
      <w:proofErr w:type="spellEnd"/>
      <w:r w:rsidRPr="00FB0F46">
        <w:rPr>
          <w:rFonts w:ascii="Times New Roman" w:hAnsi="Times New Roman"/>
          <w:sz w:val="24"/>
          <w:szCs w:val="24"/>
        </w:rPr>
        <w:t xml:space="preserve"> дисциплине совпадает с формой промежуточной аттестации дисциплины в РУП МП «Когнитивные науки и технологии: от нейрона к познанию». </w:t>
      </w:r>
    </w:p>
    <w:p w:rsidR="0015620C" w:rsidRPr="00FB0F46" w:rsidRDefault="008C6402">
      <w:pPr>
        <w:pStyle w:val="a0"/>
        <w:tabs>
          <w:tab w:val="left" w:pos="0"/>
          <w:tab w:val="left" w:pos="284"/>
          <w:tab w:val="left" w:pos="426"/>
          <w:tab w:val="left" w:pos="567"/>
          <w:tab w:val="left" w:pos="851"/>
          <w:tab w:val="left" w:pos="993"/>
          <w:tab w:val="left" w:pos="1134"/>
          <w:tab w:val="left" w:pos="1701"/>
        </w:tabs>
        <w:spacing w:before="240" w:after="240" w:line="360" w:lineRule="atLeast"/>
        <w:jc w:val="both"/>
        <w:rPr>
          <w:rFonts w:ascii="Times New Roman" w:hAnsi="Times New Roman"/>
          <w:sz w:val="24"/>
          <w:szCs w:val="24"/>
        </w:rPr>
      </w:pPr>
      <w:r w:rsidRPr="00FB0F46">
        <w:rPr>
          <w:rFonts w:ascii="Times New Roman" w:hAnsi="Times New Roman"/>
          <w:sz w:val="24"/>
          <w:szCs w:val="24"/>
        </w:rPr>
        <w:t>3.6. Аттестационная комиссия МП «Когнитивные науки и технологии: от нейрона к познанию» имеет право проводить собеседования со студентами других образовательных программ НИУ ВШЭ или других образовательных организаций, претендующие на перевод на МП «Когнитивные науки и технологии: от нейрона к познанию» на вакантные места для перевода.</w:t>
      </w:r>
    </w:p>
    <w:p w:rsidR="0015620C" w:rsidRPr="00FB0F46" w:rsidRDefault="008C6402">
      <w:pPr>
        <w:pStyle w:val="a0"/>
        <w:tabs>
          <w:tab w:val="left" w:pos="0"/>
          <w:tab w:val="left" w:pos="284"/>
          <w:tab w:val="left" w:pos="426"/>
          <w:tab w:val="left" w:pos="567"/>
          <w:tab w:val="left" w:pos="851"/>
          <w:tab w:val="left" w:pos="993"/>
          <w:tab w:val="left" w:pos="1134"/>
          <w:tab w:val="left" w:pos="1701"/>
        </w:tabs>
        <w:spacing w:before="240" w:after="240" w:line="360" w:lineRule="atLeast"/>
        <w:jc w:val="both"/>
        <w:rPr>
          <w:rFonts w:ascii="Times New Roman" w:hAnsi="Times New Roman"/>
          <w:sz w:val="24"/>
          <w:szCs w:val="24"/>
        </w:rPr>
      </w:pPr>
      <w:r w:rsidRPr="00FB0F46">
        <w:rPr>
          <w:rFonts w:ascii="Times New Roman" w:hAnsi="Times New Roman"/>
          <w:sz w:val="24"/>
          <w:szCs w:val="24"/>
        </w:rPr>
        <w:t xml:space="preserve">Собеседование проводится аттестационной комиссией с возможностью привлечения ППС, ответственного за реализацию дисциплин, по которым затруднено осуществление переаттестации. </w:t>
      </w:r>
    </w:p>
    <w:p w:rsidR="0015620C" w:rsidRPr="00FB0F46" w:rsidRDefault="008C6402">
      <w:pPr>
        <w:pStyle w:val="a0"/>
        <w:tabs>
          <w:tab w:val="left" w:pos="0"/>
          <w:tab w:val="left" w:pos="284"/>
          <w:tab w:val="left" w:pos="426"/>
          <w:tab w:val="left" w:pos="567"/>
          <w:tab w:val="left" w:pos="851"/>
          <w:tab w:val="left" w:pos="993"/>
          <w:tab w:val="left" w:pos="1134"/>
          <w:tab w:val="left" w:pos="1701"/>
        </w:tabs>
        <w:spacing w:before="240" w:after="240" w:line="360" w:lineRule="atLeast"/>
        <w:jc w:val="both"/>
        <w:rPr>
          <w:rFonts w:ascii="Times New Roman" w:hAnsi="Times New Roman"/>
          <w:sz w:val="24"/>
          <w:szCs w:val="24"/>
        </w:rPr>
      </w:pPr>
      <w:bookmarkStart w:id="2" w:name="_Toc486007842"/>
      <w:bookmarkStart w:id="3" w:name="_Toc384147615"/>
      <w:bookmarkStart w:id="4" w:name="_Toc384147507"/>
      <w:bookmarkStart w:id="5" w:name="_Toc379450304"/>
      <w:bookmarkStart w:id="6" w:name="_Toc379450002"/>
      <w:r w:rsidRPr="00FB0F46">
        <w:rPr>
          <w:rFonts w:ascii="Times New Roman" w:hAnsi="Times New Roman"/>
          <w:sz w:val="24"/>
          <w:szCs w:val="24"/>
        </w:rPr>
        <w:t>3.7. В случае, если количество студентов, удовлетворяющих всем требованиям перехода на образовательную программу и успешно прошедших переаттестацию дисциплин, превышает количество вакантных мест для перевода, проводится конкурсный отбор.</w:t>
      </w:r>
      <w:bookmarkEnd w:id="2"/>
      <w:bookmarkEnd w:id="3"/>
      <w:bookmarkEnd w:id="4"/>
      <w:bookmarkEnd w:id="5"/>
      <w:bookmarkEnd w:id="6"/>
      <w:r w:rsidRPr="00FB0F46">
        <w:rPr>
          <w:rFonts w:ascii="Times New Roman" w:hAnsi="Times New Roman"/>
          <w:sz w:val="24"/>
          <w:szCs w:val="24"/>
        </w:rPr>
        <w:t xml:space="preserve"> Ранжирование участников конкурсного отбора осуществляется на основе балла, полученного за портфолио. Дополнительное ранжирование, в случае одинаковых баллов за портфолио, определяется баллом по дисциплинам «Линейная алгебра» и «Математический анализ».</w:t>
      </w:r>
    </w:p>
    <w:p w:rsidR="0015620C" w:rsidRPr="00FB0F46" w:rsidRDefault="008C6402">
      <w:pPr>
        <w:pStyle w:val="a0"/>
        <w:tabs>
          <w:tab w:val="left" w:pos="0"/>
          <w:tab w:val="left" w:pos="284"/>
          <w:tab w:val="left" w:pos="426"/>
          <w:tab w:val="left" w:pos="567"/>
          <w:tab w:val="left" w:pos="851"/>
          <w:tab w:val="left" w:pos="993"/>
          <w:tab w:val="left" w:pos="1134"/>
          <w:tab w:val="left" w:pos="1701"/>
        </w:tabs>
        <w:spacing w:before="240" w:after="240" w:line="360" w:lineRule="atLeast"/>
        <w:jc w:val="both"/>
        <w:rPr>
          <w:rFonts w:ascii="Times New Roman" w:hAnsi="Times New Roman"/>
          <w:sz w:val="24"/>
          <w:szCs w:val="24"/>
        </w:rPr>
      </w:pPr>
      <w:r w:rsidRPr="00FB0F46">
        <w:rPr>
          <w:rFonts w:ascii="Times New Roman" w:hAnsi="Times New Roman"/>
          <w:sz w:val="24"/>
          <w:szCs w:val="24"/>
        </w:rPr>
        <w:t xml:space="preserve">3.8. Рассмотрение вопроса о переводе студентов МП «Когнитивные науки и технологии: от нейрона к познанию», осуществляющих перевод между программами, в том числе допускающихся из академического отпуска и </w:t>
      </w:r>
      <w:proofErr w:type="spellStart"/>
      <w:r w:rsidRPr="00FB0F46">
        <w:rPr>
          <w:rFonts w:ascii="Times New Roman" w:hAnsi="Times New Roman"/>
          <w:sz w:val="24"/>
          <w:szCs w:val="24"/>
        </w:rPr>
        <w:t>восстанавливающихся</w:t>
      </w:r>
      <w:proofErr w:type="spellEnd"/>
      <w:r w:rsidRPr="00FB0F46">
        <w:rPr>
          <w:rFonts w:ascii="Times New Roman" w:hAnsi="Times New Roman"/>
          <w:sz w:val="24"/>
          <w:szCs w:val="24"/>
        </w:rPr>
        <w:t xml:space="preserve"> после отчисления, с дальнейшим переводом осуществляет Аттестационная комиссия МП «Когнитивные науки и технологии: от нейрона к познанию», на основании экспертизы представленных документов.</w:t>
      </w:r>
    </w:p>
    <w:p w:rsidR="0015620C" w:rsidRPr="00FB0F46" w:rsidRDefault="008C6402">
      <w:pPr>
        <w:pStyle w:val="a0"/>
        <w:tabs>
          <w:tab w:val="left" w:pos="0"/>
          <w:tab w:val="left" w:pos="142"/>
          <w:tab w:val="left" w:pos="567"/>
          <w:tab w:val="left" w:pos="851"/>
          <w:tab w:val="left" w:pos="993"/>
          <w:tab w:val="left" w:pos="1134"/>
          <w:tab w:val="left" w:pos="1701"/>
        </w:tabs>
        <w:spacing w:before="240" w:after="240" w:line="360" w:lineRule="atLeast"/>
        <w:jc w:val="both"/>
        <w:rPr>
          <w:rFonts w:ascii="Times New Roman" w:hAnsi="Times New Roman"/>
          <w:sz w:val="24"/>
          <w:szCs w:val="24"/>
        </w:rPr>
      </w:pPr>
      <w:r w:rsidRPr="00FB0F46">
        <w:rPr>
          <w:rFonts w:ascii="Times New Roman" w:hAnsi="Times New Roman"/>
          <w:sz w:val="24"/>
          <w:szCs w:val="24"/>
        </w:rPr>
        <w:t>Аттестационная комиссия проводит анализ академической разницы учебных планов и документов студента об имеющихся результатах обучения, на основании Критериев, установленных Академическим советом МП «Когнитивные науки и технологии: от нейрона к познанию», опубликованных на сайте программы в разделе «Студентам» – «Перевод и восстановление на образовательную программу».</w:t>
      </w:r>
    </w:p>
    <w:p w:rsidR="0015620C" w:rsidRPr="00FB0F46" w:rsidRDefault="008C6402">
      <w:pPr>
        <w:pStyle w:val="a0"/>
        <w:tabs>
          <w:tab w:val="left" w:pos="0"/>
          <w:tab w:val="left" w:pos="567"/>
          <w:tab w:val="left" w:pos="851"/>
          <w:tab w:val="left" w:pos="1276"/>
        </w:tabs>
        <w:spacing w:before="240" w:after="240" w:line="360" w:lineRule="atLeast"/>
        <w:jc w:val="center"/>
        <w:rPr>
          <w:rFonts w:ascii="Times New Roman" w:hAnsi="Times New Roman"/>
          <w:sz w:val="24"/>
          <w:szCs w:val="24"/>
        </w:rPr>
      </w:pPr>
      <w:r w:rsidRPr="00FB0F46">
        <w:rPr>
          <w:rFonts w:ascii="Times New Roman" w:hAnsi="Times New Roman"/>
          <w:b/>
          <w:color w:val="000000"/>
          <w:sz w:val="24"/>
          <w:szCs w:val="24"/>
        </w:rPr>
        <w:t>4. Организация перевода студентов, обучающихся на местах с оплатой стоимости обучения на договорной основе на вакантные места, обеспеченные государственным финансированием</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4.1. Перевод студента с платного обучения на бесплатное совершается в соответствии с приказом Министерства образования и науки Российской Федерации от 06.06.2013 №433 "</w:t>
      </w:r>
      <w:hyperlink r:id="rId7">
        <w:r w:rsidRPr="00FB0F46">
          <w:rPr>
            <w:rStyle w:val="-"/>
            <w:rFonts w:ascii="Times New Roman" w:hAnsi="Times New Roman"/>
            <w:sz w:val="24"/>
            <w:szCs w:val="24"/>
          </w:rPr>
          <w: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hyperlink>
      <w:r w:rsidRPr="00FB0F46">
        <w:rPr>
          <w:rFonts w:ascii="Times New Roman" w:hAnsi="Times New Roman"/>
          <w:sz w:val="24"/>
          <w:szCs w:val="24"/>
        </w:rPr>
        <w:t>" и осуществляется на основе </w:t>
      </w:r>
      <w:hyperlink r:id="rId8">
        <w:r w:rsidRPr="00FB0F46">
          <w:rPr>
            <w:rStyle w:val="-"/>
            <w:rFonts w:ascii="Times New Roman" w:hAnsi="Times New Roman"/>
            <w:sz w:val="24"/>
            <w:szCs w:val="24"/>
          </w:rPr>
          <w:t>Регламента организации перехода студентов Национального исследовательского университета «Высшая школа экономики» с платного обучения на бесплатное</w:t>
        </w:r>
      </w:hyperlink>
      <w:r w:rsidRPr="00FB0F46">
        <w:rPr>
          <w:rFonts w:ascii="Times New Roman" w:hAnsi="Times New Roman"/>
          <w:sz w:val="24"/>
          <w:szCs w:val="24"/>
        </w:rPr>
        <w:t>.</w:t>
      </w:r>
    </w:p>
    <w:p w:rsidR="0015620C" w:rsidRPr="00FB0F46" w:rsidRDefault="008C6402">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r w:rsidRPr="00FB0F46">
        <w:rPr>
          <w:rFonts w:ascii="Times New Roman" w:hAnsi="Times New Roman"/>
          <w:sz w:val="24"/>
          <w:szCs w:val="24"/>
        </w:rPr>
        <w:t>4.2. В случае, если заявлений о переводе на вакантные бюджетные места подано больше количества вакантных бюджетных мест для перевода, приоритет имеют студенты МП «Когнитивные науки и технологии: от нейрона к познанию». Для данной категории студентов ранжирование проводится на основе среднего балла, места в рейтинге, отсутствия пересдач. Для студентов других образовательных программ осуществляется конкурс портфолио и анализ оценок за курсы математики, прослушанные в НИУ ВШЭ или результатов тестирования по дисциплинам «Линейная алгебра» и «Математический анализ», проводимого преподавателем данных курсов. Состав портфолио аналогичен используемому при поступлении на МП «Когнитивные науки и технологии: от нейрона к познанию». При возникших трудностях в ранжировании студентов на основе представленных документов и академических результатов Аттестационная комиссия имеет право проводить собеседование с каждым из кандидатов.</w:t>
      </w:r>
    </w:p>
    <w:p w:rsidR="0015620C" w:rsidRPr="00FB0F46" w:rsidRDefault="0015620C">
      <w:pPr>
        <w:pStyle w:val="a0"/>
        <w:tabs>
          <w:tab w:val="left" w:pos="0"/>
          <w:tab w:val="left" w:pos="567"/>
          <w:tab w:val="left" w:pos="851"/>
          <w:tab w:val="left" w:pos="1276"/>
        </w:tabs>
        <w:spacing w:before="240" w:after="240" w:line="360" w:lineRule="atLeast"/>
        <w:jc w:val="both"/>
        <w:rPr>
          <w:rFonts w:ascii="Times New Roman" w:hAnsi="Times New Roman"/>
          <w:sz w:val="24"/>
          <w:szCs w:val="24"/>
        </w:rPr>
      </w:pPr>
    </w:p>
    <w:sectPr w:rsidR="0015620C" w:rsidRPr="00FB0F46">
      <w:pgSz w:w="11905" w:h="16837"/>
      <w:pgMar w:top="1134" w:right="850" w:bottom="708"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02" w:rsidRDefault="008C6402">
      <w:pPr>
        <w:spacing w:after="0" w:line="240" w:lineRule="auto"/>
      </w:pPr>
      <w:r>
        <w:separator/>
      </w:r>
    </w:p>
  </w:endnote>
  <w:endnote w:type="continuationSeparator" w:id="0">
    <w:p w:rsidR="008C6402" w:rsidRDefault="008C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DejaVu LGC San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02" w:rsidRDefault="008C6402">
      <w:pPr>
        <w:spacing w:after="0" w:line="240" w:lineRule="auto"/>
      </w:pPr>
      <w:r>
        <w:separator/>
      </w:r>
    </w:p>
  </w:footnote>
  <w:footnote w:type="continuationSeparator" w:id="0">
    <w:p w:rsidR="008C6402" w:rsidRDefault="008C6402">
      <w:pPr>
        <w:spacing w:after="0" w:line="240" w:lineRule="auto"/>
      </w:pPr>
      <w:r>
        <w:continuationSeparator/>
      </w:r>
    </w:p>
  </w:footnote>
  <w:footnote w:id="1">
    <w:p w:rsidR="0015620C" w:rsidRPr="00FB0F46" w:rsidRDefault="008C6402">
      <w:pPr>
        <w:pStyle w:val="af9"/>
        <w:jc w:val="both"/>
        <w:rPr>
          <w:rFonts w:ascii="Times New Roman" w:hAnsi="Times New Roman"/>
          <w:sz w:val="18"/>
          <w:szCs w:val="18"/>
        </w:rPr>
      </w:pPr>
      <w:r w:rsidRPr="00FB0F46">
        <w:rPr>
          <w:rFonts w:ascii="Times New Roman" w:hAnsi="Times New Roman"/>
          <w:sz w:val="18"/>
          <w:szCs w:val="18"/>
        </w:rPr>
        <w:tab/>
      </w:r>
      <w:r w:rsidR="00FB0F46" w:rsidRPr="00FB0F46">
        <w:rPr>
          <w:rFonts w:ascii="Times New Roman" w:hAnsi="Times New Roman"/>
          <w:sz w:val="18"/>
          <w:szCs w:val="18"/>
          <w:vertAlign w:val="superscript"/>
        </w:rPr>
        <w:t>1</w:t>
      </w:r>
      <w:r w:rsidRPr="00FB0F46">
        <w:rPr>
          <w:rFonts w:ascii="Times New Roman" w:hAnsi="Times New Roman"/>
          <w:sz w:val="18"/>
          <w:szCs w:val="18"/>
        </w:rPr>
        <w:t xml:space="preserve"> Количество академических групп на учебный год определяется в утверждённом первым проректором учебном плане по базовым дисциплинам.</w:t>
      </w:r>
    </w:p>
    <w:p w:rsidR="0015620C" w:rsidRDefault="0015620C">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D58"/>
    <w:multiLevelType w:val="multilevel"/>
    <w:tmpl w:val="D2EAFA60"/>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1" w15:restartNumberingAfterBreak="0">
    <w:nsid w:val="218D57DE"/>
    <w:multiLevelType w:val="multilevel"/>
    <w:tmpl w:val="64CC4B20"/>
    <w:lvl w:ilvl="0">
      <w:start w:val="1"/>
      <w:numFmt w:val="decimal"/>
      <w:lvlText w:val="%1."/>
      <w:lvlJc w:val="left"/>
      <w:pPr>
        <w:ind w:left="1002" w:hanging="43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CC438A"/>
    <w:multiLevelType w:val="multilevel"/>
    <w:tmpl w:val="90FEE62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620C"/>
    <w:rsid w:val="0015620C"/>
    <w:rsid w:val="008C6402"/>
    <w:rsid w:val="00A3219E"/>
    <w:rsid w:val="00FB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3A31E-AD62-4BF5-8F26-D4A319DC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keepNext/>
      <w:spacing w:before="480" w:after="0"/>
      <w:outlineLvl w:val="0"/>
    </w:pPr>
    <w:rPr>
      <w:rFonts w:ascii="Cambria" w:hAnsi="Cambria"/>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9"/>
      </w:tabs>
      <w:suppressAutoHyphens/>
      <w:spacing w:after="200" w:line="276" w:lineRule="atLeast"/>
    </w:pPr>
    <w:rPr>
      <w:rFonts w:ascii="Calibri" w:eastAsia="Calibri" w:hAnsi="Calibri" w:cs="Times New Roman"/>
      <w:lang w:eastAsia="en-US"/>
    </w:rPr>
  </w:style>
  <w:style w:type="character" w:customStyle="1" w:styleId="ListLabel1">
    <w:name w:val="ListLabel 1"/>
    <w:rPr>
      <w:sz w:val="24"/>
    </w:rPr>
  </w:style>
  <w:style w:type="character" w:customStyle="1" w:styleId="ListLabel2">
    <w:name w:val="ListLabel 2"/>
    <w:rPr>
      <w:rFonts w:cs="Courier New"/>
    </w:rPr>
  </w:style>
  <w:style w:type="character" w:customStyle="1" w:styleId="ListLabel3">
    <w:name w:val="ListLabel 3"/>
    <w:rPr>
      <w:rFonts w:eastAsia="Arial Unicode MS" w:cs="Times New Roman"/>
    </w:rPr>
  </w:style>
  <w:style w:type="character" w:customStyle="1" w:styleId="ListLabel4">
    <w:name w:val="ListLabel 4"/>
    <w:rPr>
      <w:b/>
    </w:rPr>
  </w:style>
  <w:style w:type="character" w:customStyle="1" w:styleId="-">
    <w:name w:val="Интернет-ссылка"/>
    <w:rPr>
      <w:color w:val="0000FF"/>
      <w:u w:val="single"/>
      <w:lang w:val="ru-RU" w:eastAsia="ru-RU" w:bidi="ru-RU"/>
    </w:rPr>
  </w:style>
  <w:style w:type="character" w:customStyle="1" w:styleId="10">
    <w:name w:val="Заголовок 1 Знак"/>
    <w:basedOn w:val="a2"/>
  </w:style>
  <w:style w:type="character" w:customStyle="1" w:styleId="a5">
    <w:name w:val="Верхний колонтитул Знак"/>
    <w:basedOn w:val="a2"/>
  </w:style>
  <w:style w:type="character" w:customStyle="1" w:styleId="a6">
    <w:name w:val="Нижний колонтитул Знак"/>
    <w:basedOn w:val="a2"/>
  </w:style>
  <w:style w:type="character" w:customStyle="1" w:styleId="a7">
    <w:name w:val="Текст сноски Знак"/>
    <w:basedOn w:val="a2"/>
  </w:style>
  <w:style w:type="character" w:styleId="a8">
    <w:name w:val="footnote reference"/>
  </w:style>
  <w:style w:type="character" w:customStyle="1" w:styleId="a9">
    <w:name w:val="Текст выноски Знак"/>
    <w:basedOn w:val="a2"/>
  </w:style>
  <w:style w:type="character" w:styleId="aa">
    <w:name w:val="annotation reference"/>
    <w:basedOn w:val="a2"/>
  </w:style>
  <w:style w:type="character" w:customStyle="1" w:styleId="ab">
    <w:name w:val="Текст примечания Знак"/>
    <w:basedOn w:val="a2"/>
  </w:style>
  <w:style w:type="character" w:customStyle="1" w:styleId="ac">
    <w:name w:val="Тема примечания Знак"/>
    <w:basedOn w:val="ab"/>
  </w:style>
  <w:style w:type="character" w:customStyle="1" w:styleId="ad">
    <w:name w:val="Символ сноски"/>
  </w:style>
  <w:style w:type="character" w:customStyle="1" w:styleId="ae">
    <w:name w:val="Привязка сноски"/>
  </w:style>
  <w:style w:type="character" w:customStyle="1" w:styleId="af">
    <w:name w:val="Привязка концевой сноски"/>
  </w:style>
  <w:style w:type="character" w:customStyle="1" w:styleId="af0">
    <w:name w:val="Символы концевой сноски"/>
  </w:style>
  <w:style w:type="paragraph" w:customStyle="1" w:styleId="af1">
    <w:name w:val="Заголовок"/>
    <w:basedOn w:val="a0"/>
    <w:next w:val="a1"/>
    <w:pPr>
      <w:keepNext/>
      <w:spacing w:before="240" w:after="120"/>
    </w:pPr>
    <w:rPr>
      <w:rFonts w:ascii="Arial" w:eastAsia="DejaVu LGC Sans" w:hAnsi="Arial" w:cs="DejaVu LGC Sans"/>
      <w:sz w:val="28"/>
      <w:szCs w:val="28"/>
    </w:rPr>
  </w:style>
  <w:style w:type="paragraph" w:styleId="a1">
    <w:name w:val="Body Text"/>
    <w:basedOn w:val="a0"/>
    <w:pPr>
      <w:spacing w:after="120"/>
    </w:pPr>
  </w:style>
  <w:style w:type="paragraph" w:styleId="af2">
    <w:name w:val="List"/>
    <w:basedOn w:val="a1"/>
    <w:rPr>
      <w:rFonts w:ascii="Arial" w:hAnsi="Arial"/>
    </w:rPr>
  </w:style>
  <w:style w:type="paragraph" w:styleId="af3">
    <w:name w:val="Title"/>
    <w:basedOn w:val="a0"/>
    <w:pPr>
      <w:suppressLineNumbers/>
      <w:spacing w:before="120" w:after="120"/>
    </w:pPr>
    <w:rPr>
      <w:rFonts w:ascii="Arial" w:hAnsi="Arial"/>
      <w:i/>
      <w:iCs/>
      <w:sz w:val="20"/>
      <w:szCs w:val="24"/>
    </w:rPr>
  </w:style>
  <w:style w:type="paragraph" w:styleId="af4">
    <w:name w:val="index heading"/>
    <w:basedOn w:val="a0"/>
    <w:pPr>
      <w:suppressLineNumbers/>
    </w:pPr>
    <w:rPr>
      <w:rFonts w:ascii="Arial" w:hAnsi="Arial"/>
    </w:rPr>
  </w:style>
  <w:style w:type="paragraph" w:customStyle="1" w:styleId="11">
    <w:name w:val="Заголовок оглавления1"/>
    <w:basedOn w:val="1"/>
  </w:style>
  <w:style w:type="paragraph" w:styleId="12">
    <w:name w:val="toc 1"/>
    <w:basedOn w:val="a0"/>
    <w:pPr>
      <w:tabs>
        <w:tab w:val="left" w:pos="440"/>
        <w:tab w:val="right" w:leader="dot" w:pos="9345"/>
      </w:tabs>
      <w:spacing w:after="0" w:line="100" w:lineRule="atLeast"/>
    </w:pPr>
    <w:rPr>
      <w:rFonts w:ascii="Times New Roman" w:eastAsia="Times New Roman" w:hAnsi="Times New Roman"/>
      <w:sz w:val="24"/>
      <w:szCs w:val="24"/>
      <w:lang w:eastAsia="ru-RU"/>
    </w:rPr>
  </w:style>
  <w:style w:type="paragraph" w:styleId="af5">
    <w:name w:val="header"/>
    <w:basedOn w:val="a0"/>
    <w:pPr>
      <w:suppressLineNumbers/>
      <w:tabs>
        <w:tab w:val="center" w:pos="4677"/>
        <w:tab w:val="right" w:pos="9355"/>
      </w:tabs>
      <w:spacing w:after="0" w:line="100" w:lineRule="atLeast"/>
    </w:pPr>
  </w:style>
  <w:style w:type="paragraph" w:styleId="af6">
    <w:name w:val="footer"/>
    <w:basedOn w:val="a0"/>
    <w:pPr>
      <w:suppressLineNumbers/>
      <w:tabs>
        <w:tab w:val="center" w:pos="4677"/>
        <w:tab w:val="right" w:pos="9355"/>
      </w:tabs>
      <w:spacing w:after="0" w:line="100" w:lineRule="atLeast"/>
    </w:pPr>
  </w:style>
  <w:style w:type="paragraph" w:styleId="af7">
    <w:name w:val="List Paragraph"/>
    <w:basedOn w:val="a0"/>
  </w:style>
  <w:style w:type="paragraph" w:customStyle="1" w:styleId="13">
    <w:name w:val="Стиль1"/>
    <w:pPr>
      <w:widowControl w:val="0"/>
      <w:tabs>
        <w:tab w:val="left" w:pos="709"/>
      </w:tabs>
      <w:suppressAutoHyphens/>
      <w:spacing w:after="200" w:line="276" w:lineRule="atLeast"/>
    </w:pPr>
    <w:rPr>
      <w:rFonts w:ascii="Calibri" w:eastAsia="DejaVu LGC Sans" w:hAnsi="Calibri"/>
      <w:lang w:eastAsia="en-US"/>
    </w:rPr>
  </w:style>
  <w:style w:type="paragraph" w:styleId="af8">
    <w:name w:val="Normal (Web)"/>
    <w:basedOn w:val="a0"/>
  </w:style>
  <w:style w:type="paragraph" w:styleId="af9">
    <w:name w:val="footnote text"/>
    <w:basedOn w:val="a0"/>
  </w:style>
  <w:style w:type="paragraph" w:styleId="afa">
    <w:name w:val="Balloon Text"/>
    <w:basedOn w:val="a0"/>
  </w:style>
  <w:style w:type="paragraph" w:styleId="afb">
    <w:name w:val="annotation text"/>
    <w:basedOn w:val="a0"/>
  </w:style>
  <w:style w:type="paragraph" w:styleId="afc">
    <w:name w:val="annotation subject"/>
    <w:basedOn w:val="afb"/>
  </w:style>
  <w:style w:type="paragraph" w:styleId="afd">
    <w:name w:val="No Spacing"/>
    <w:pPr>
      <w:widowControl w:val="0"/>
      <w:tabs>
        <w:tab w:val="left" w:pos="709"/>
      </w:tabs>
      <w:suppressAutoHyphens/>
      <w:spacing w:after="200" w:line="276" w:lineRule="atLeast"/>
    </w:pPr>
    <w:rPr>
      <w:rFonts w:ascii="Calibri" w:eastAsia="DejaVu LGC Sans" w:hAnsi="Calibri"/>
      <w:lang w:eastAsia="en-US"/>
    </w:rPr>
  </w:style>
  <w:style w:type="paragraph" w:customStyle="1" w:styleId="inbox-inbox-m-9132033570937374834msolistparagraph">
    <w:name w:val="inbox-inbox-m-9132033570937374834msolistparagraph"/>
    <w:basedOn w:val="a0"/>
  </w:style>
  <w:style w:type="paragraph" w:customStyle="1" w:styleId="afe">
    <w:name w:val="Сноска"/>
    <w:basedOn w:val="a0"/>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15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187265639.html" TargetMode="External"/><Relationship Id="rId3" Type="http://schemas.openxmlformats.org/officeDocument/2006/relationships/settings" Target="settings.xml"/><Relationship Id="rId7" Type="http://schemas.openxmlformats.org/officeDocument/2006/relationships/hyperlink" Target="http://base.garant.ru/70420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1639</Words>
  <Characters>9346</Characters>
  <Application>Microsoft Office Word</Application>
  <DocSecurity>0</DocSecurity>
  <Lines>77</Lines>
  <Paragraphs>21</Paragraphs>
  <ScaleCrop>false</ScaleCrop>
  <Company>НИУ ВШЭ</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lojma</dc:creator>
  <cp:lastModifiedBy>Сумкина Ирина Ильинична</cp:lastModifiedBy>
  <cp:revision>23</cp:revision>
  <cp:lastPrinted>2017-08-03T08:45:00Z</cp:lastPrinted>
  <dcterms:created xsi:type="dcterms:W3CDTF">2017-09-25T20:29:00Z</dcterms:created>
  <dcterms:modified xsi:type="dcterms:W3CDTF">2019-10-18T11:27:00Z</dcterms:modified>
</cp:coreProperties>
</file>