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5E8A" w14:textId="77777777" w:rsidR="00AC1A8D" w:rsidRPr="00CF3172" w:rsidRDefault="00822510" w:rsidP="00D219AC">
      <w:pPr>
        <w:spacing w:line="240" w:lineRule="auto"/>
        <w:ind w:firstLine="0"/>
        <w:jc w:val="center"/>
        <w:rPr>
          <w:b/>
          <w:bCs/>
          <w:color w:val="000000"/>
          <w:sz w:val="24"/>
          <w:szCs w:val="24"/>
          <w:lang w:val="en-US"/>
        </w:rPr>
      </w:pPr>
      <w:r w:rsidRPr="00CF3172">
        <w:rPr>
          <w:b/>
          <w:bCs/>
          <w:color w:val="000000"/>
          <w:sz w:val="24"/>
          <w:szCs w:val="24"/>
          <w:lang w:val="en-US"/>
        </w:rPr>
        <w:t>CORPORATE FINANCE</w:t>
      </w:r>
    </w:p>
    <w:p w14:paraId="60AAB158" w14:textId="200E0E0C" w:rsidR="002B6B74" w:rsidRPr="00CF3172" w:rsidRDefault="00E7416D" w:rsidP="00D219AC">
      <w:pPr>
        <w:spacing w:line="240" w:lineRule="auto"/>
        <w:ind w:firstLine="0"/>
        <w:jc w:val="center"/>
        <w:rPr>
          <w:b/>
          <w:bCs/>
          <w:color w:val="000000"/>
          <w:sz w:val="24"/>
          <w:szCs w:val="24"/>
          <w:lang w:val="en-US"/>
        </w:rPr>
      </w:pPr>
      <w:r w:rsidRPr="00CF3172">
        <w:rPr>
          <w:b/>
          <w:bCs/>
          <w:color w:val="000000"/>
          <w:sz w:val="24"/>
          <w:szCs w:val="24"/>
          <w:lang w:val="en-US"/>
        </w:rPr>
        <w:t>Syllabus</w:t>
      </w:r>
    </w:p>
    <w:p w14:paraId="02E48F3F" w14:textId="04B8AF9A" w:rsidR="00822510" w:rsidRPr="00CF3172" w:rsidRDefault="00822510" w:rsidP="00D219AC">
      <w:pPr>
        <w:spacing w:line="240" w:lineRule="auto"/>
        <w:ind w:firstLine="0"/>
        <w:jc w:val="left"/>
        <w:rPr>
          <w:bCs/>
          <w:sz w:val="24"/>
          <w:szCs w:val="24"/>
          <w:lang w:val="en-US"/>
        </w:rPr>
      </w:pPr>
    </w:p>
    <w:p w14:paraId="3C3561B1" w14:textId="77777777" w:rsidR="00882CC5" w:rsidRPr="00CF3172" w:rsidRDefault="00882CC5" w:rsidP="00D219AC">
      <w:pPr>
        <w:spacing w:line="240" w:lineRule="auto"/>
        <w:ind w:firstLine="0"/>
        <w:jc w:val="left"/>
        <w:rPr>
          <w:bCs/>
          <w:sz w:val="24"/>
          <w:szCs w:val="24"/>
          <w:lang w:val="en-US"/>
        </w:rPr>
      </w:pPr>
    </w:p>
    <w:tbl>
      <w:tblPr>
        <w:tblStyle w:val="affff6"/>
        <w:tblW w:w="10036" w:type="dxa"/>
        <w:tblInd w:w="-5" w:type="dxa"/>
        <w:tblLook w:val="04A0" w:firstRow="1" w:lastRow="0" w:firstColumn="1" w:lastColumn="0" w:noHBand="0" w:noVBand="1"/>
      </w:tblPr>
      <w:tblGrid>
        <w:gridCol w:w="3261"/>
        <w:gridCol w:w="6775"/>
      </w:tblGrid>
      <w:tr w:rsidR="002B6B74" w:rsidRPr="00CF3172" w14:paraId="441D29F8" w14:textId="77777777" w:rsidTr="00CF3172">
        <w:tc>
          <w:tcPr>
            <w:tcW w:w="3261" w:type="dxa"/>
          </w:tcPr>
          <w:p w14:paraId="155814D1" w14:textId="77777777" w:rsidR="002B6B74" w:rsidRPr="00CF3172" w:rsidRDefault="00646AA0" w:rsidP="00D219AC">
            <w:pPr>
              <w:spacing w:line="240" w:lineRule="auto"/>
              <w:ind w:firstLine="0"/>
              <w:rPr>
                <w:sz w:val="24"/>
                <w:szCs w:val="24"/>
                <w:lang w:val="en-US"/>
              </w:rPr>
            </w:pPr>
            <w:r w:rsidRPr="00CF3172">
              <w:rPr>
                <w:sz w:val="24"/>
                <w:szCs w:val="24"/>
                <w:lang w:val="en-US"/>
              </w:rPr>
              <w:t>Prepared</w:t>
            </w:r>
            <w:r w:rsidR="00AC1A8D" w:rsidRPr="00CF3172">
              <w:rPr>
                <w:sz w:val="24"/>
                <w:szCs w:val="24"/>
                <w:lang w:val="en-US"/>
              </w:rPr>
              <w:t xml:space="preserve"> by</w:t>
            </w:r>
          </w:p>
        </w:tc>
        <w:tc>
          <w:tcPr>
            <w:tcW w:w="6775" w:type="dxa"/>
          </w:tcPr>
          <w:p w14:paraId="6F2360DB" w14:textId="77777777" w:rsidR="00AC1A8D" w:rsidRPr="00CF3172" w:rsidRDefault="00AC1A8D" w:rsidP="00D219AC">
            <w:pPr>
              <w:spacing w:line="240" w:lineRule="auto"/>
              <w:ind w:firstLine="0"/>
              <w:jc w:val="left"/>
              <w:rPr>
                <w:sz w:val="24"/>
                <w:szCs w:val="24"/>
                <w:lang w:val="en-US"/>
              </w:rPr>
            </w:pPr>
            <w:r w:rsidRPr="00CF3172">
              <w:rPr>
                <w:sz w:val="24"/>
                <w:szCs w:val="24"/>
                <w:lang w:val="en-US"/>
              </w:rPr>
              <w:t>Pavel Malyshev, Associate Professor of the School of Finance,</w:t>
            </w:r>
          </w:p>
          <w:p w14:paraId="3B47949D" w14:textId="77777777" w:rsidR="002B6B74" w:rsidRPr="00CF3172" w:rsidRDefault="00AC1A8D" w:rsidP="00D219AC">
            <w:pPr>
              <w:spacing w:line="240" w:lineRule="auto"/>
              <w:ind w:firstLine="0"/>
              <w:jc w:val="left"/>
              <w:rPr>
                <w:sz w:val="24"/>
                <w:szCs w:val="24"/>
                <w:lang w:val="en-US"/>
              </w:rPr>
            </w:pPr>
            <w:r w:rsidRPr="00CF3172">
              <w:rPr>
                <w:sz w:val="24"/>
                <w:szCs w:val="24"/>
                <w:lang w:val="en-US"/>
              </w:rPr>
              <w:t>Faculty of Economic Sciences</w:t>
            </w:r>
          </w:p>
        </w:tc>
      </w:tr>
      <w:tr w:rsidR="002B6B74" w:rsidRPr="00CF3172" w14:paraId="5DF724EB" w14:textId="77777777" w:rsidTr="00CF3172">
        <w:tc>
          <w:tcPr>
            <w:tcW w:w="3261" w:type="dxa"/>
          </w:tcPr>
          <w:p w14:paraId="44AEBEAB" w14:textId="77777777" w:rsidR="002B6B74" w:rsidRPr="00CF3172" w:rsidRDefault="00524694" w:rsidP="00D219AC">
            <w:pPr>
              <w:spacing w:line="240" w:lineRule="auto"/>
              <w:ind w:firstLine="0"/>
              <w:rPr>
                <w:sz w:val="24"/>
                <w:szCs w:val="24"/>
              </w:rPr>
            </w:pPr>
            <w:r w:rsidRPr="00CF3172">
              <w:rPr>
                <w:sz w:val="24"/>
                <w:szCs w:val="24"/>
                <w:lang w:val="en-US"/>
              </w:rPr>
              <w:t>Lectures and classes</w:t>
            </w:r>
            <w:r w:rsidR="00AC1A8D" w:rsidRPr="00CF3172">
              <w:rPr>
                <w:sz w:val="24"/>
                <w:szCs w:val="24"/>
                <w:lang w:val="en-US"/>
              </w:rPr>
              <w:t xml:space="preserve"> (hours)</w:t>
            </w:r>
            <w:r w:rsidR="002B6B74" w:rsidRPr="00CF3172">
              <w:rPr>
                <w:sz w:val="24"/>
                <w:szCs w:val="24"/>
              </w:rPr>
              <w:t xml:space="preserve"> </w:t>
            </w:r>
          </w:p>
        </w:tc>
        <w:tc>
          <w:tcPr>
            <w:tcW w:w="6775" w:type="dxa"/>
          </w:tcPr>
          <w:p w14:paraId="7ED57504" w14:textId="61BF1648" w:rsidR="002B6B74" w:rsidRPr="00CF3172" w:rsidRDefault="00E7416D" w:rsidP="00D219AC">
            <w:pPr>
              <w:spacing w:line="240" w:lineRule="auto"/>
              <w:ind w:firstLine="0"/>
              <w:jc w:val="left"/>
              <w:rPr>
                <w:sz w:val="24"/>
                <w:szCs w:val="24"/>
                <w:lang w:val="en-US"/>
              </w:rPr>
            </w:pPr>
            <w:r w:rsidRPr="00CF3172">
              <w:rPr>
                <w:sz w:val="24"/>
                <w:szCs w:val="24"/>
                <w:lang w:val="en-US"/>
              </w:rPr>
              <w:t>24</w:t>
            </w:r>
          </w:p>
        </w:tc>
      </w:tr>
      <w:tr w:rsidR="002B6B74" w:rsidRPr="00CF3172" w14:paraId="5522ECCF" w14:textId="77777777" w:rsidTr="00CF3172">
        <w:tc>
          <w:tcPr>
            <w:tcW w:w="3261" w:type="dxa"/>
          </w:tcPr>
          <w:p w14:paraId="6D503EFC" w14:textId="77777777" w:rsidR="002B6B74" w:rsidRPr="00CF3172" w:rsidRDefault="00AC1A8D" w:rsidP="00D219AC">
            <w:pPr>
              <w:spacing w:line="240" w:lineRule="auto"/>
              <w:ind w:firstLine="0"/>
              <w:rPr>
                <w:sz w:val="24"/>
                <w:szCs w:val="24"/>
              </w:rPr>
            </w:pPr>
            <w:r w:rsidRPr="00CF3172">
              <w:rPr>
                <w:sz w:val="24"/>
                <w:szCs w:val="24"/>
                <w:lang w:val="en-US"/>
              </w:rPr>
              <w:t>Self-study (hours)</w:t>
            </w:r>
            <w:r w:rsidR="002B6B74" w:rsidRPr="00CF3172">
              <w:rPr>
                <w:sz w:val="24"/>
                <w:szCs w:val="24"/>
              </w:rPr>
              <w:t xml:space="preserve"> </w:t>
            </w:r>
          </w:p>
        </w:tc>
        <w:tc>
          <w:tcPr>
            <w:tcW w:w="6775" w:type="dxa"/>
          </w:tcPr>
          <w:p w14:paraId="3A8D2DCD" w14:textId="035A1722" w:rsidR="002B6B74" w:rsidRPr="00CF3172" w:rsidRDefault="00E7416D" w:rsidP="00D219AC">
            <w:pPr>
              <w:spacing w:line="240" w:lineRule="auto"/>
              <w:ind w:firstLine="0"/>
              <w:jc w:val="left"/>
              <w:rPr>
                <w:sz w:val="24"/>
                <w:szCs w:val="24"/>
                <w:lang w:val="en-US"/>
              </w:rPr>
            </w:pPr>
            <w:r w:rsidRPr="00CF3172">
              <w:rPr>
                <w:sz w:val="24"/>
                <w:szCs w:val="24"/>
                <w:lang w:val="en-US"/>
              </w:rPr>
              <w:t>24</w:t>
            </w:r>
          </w:p>
        </w:tc>
      </w:tr>
      <w:tr w:rsidR="002B6B74" w:rsidRPr="00CF3172" w14:paraId="559E35B1" w14:textId="77777777" w:rsidTr="00CF3172">
        <w:tc>
          <w:tcPr>
            <w:tcW w:w="3261" w:type="dxa"/>
          </w:tcPr>
          <w:p w14:paraId="799C0625" w14:textId="77777777" w:rsidR="002B6B74" w:rsidRPr="00CF3172" w:rsidRDefault="00AC1A8D" w:rsidP="00D219AC">
            <w:pPr>
              <w:spacing w:line="240" w:lineRule="auto"/>
              <w:ind w:firstLine="0"/>
              <w:rPr>
                <w:sz w:val="24"/>
                <w:szCs w:val="24"/>
                <w:lang w:val="en-US"/>
              </w:rPr>
            </w:pPr>
            <w:r w:rsidRPr="00CF3172">
              <w:rPr>
                <w:sz w:val="24"/>
                <w:szCs w:val="24"/>
                <w:lang w:val="en-US"/>
              </w:rPr>
              <w:t>Study format</w:t>
            </w:r>
          </w:p>
        </w:tc>
        <w:tc>
          <w:tcPr>
            <w:tcW w:w="6775" w:type="dxa"/>
          </w:tcPr>
          <w:p w14:paraId="71A4AD6D" w14:textId="6656A047" w:rsidR="002B6B74" w:rsidRPr="00CF3172" w:rsidRDefault="00E7416D" w:rsidP="00D219AC">
            <w:pPr>
              <w:spacing w:line="240" w:lineRule="auto"/>
              <w:ind w:firstLine="0"/>
              <w:jc w:val="left"/>
              <w:rPr>
                <w:sz w:val="24"/>
                <w:szCs w:val="24"/>
                <w:lang w:val="en-US"/>
              </w:rPr>
            </w:pPr>
            <w:r w:rsidRPr="00CF3172">
              <w:rPr>
                <w:sz w:val="24"/>
                <w:szCs w:val="24"/>
                <w:lang w:val="en-US"/>
              </w:rPr>
              <w:t>Online</w:t>
            </w:r>
          </w:p>
        </w:tc>
      </w:tr>
    </w:tbl>
    <w:p w14:paraId="317EB453" w14:textId="77777777" w:rsidR="006A7A7C" w:rsidRPr="00CF3172" w:rsidRDefault="006A7A7C" w:rsidP="00D219AC">
      <w:pPr>
        <w:pStyle w:val="affffd"/>
        <w:shd w:val="clear" w:color="auto" w:fill="FFFFFF"/>
        <w:spacing w:before="0" w:beforeAutospacing="0" w:after="0" w:afterAutospacing="0"/>
        <w:textAlignment w:val="baseline"/>
        <w:rPr>
          <w:color w:val="000000"/>
        </w:rPr>
      </w:pPr>
    </w:p>
    <w:p w14:paraId="64D892A4" w14:textId="77777777" w:rsidR="00822510" w:rsidRPr="00CF3172" w:rsidRDefault="00822510" w:rsidP="00D219AC">
      <w:pPr>
        <w:pStyle w:val="affffd"/>
        <w:shd w:val="clear" w:color="auto" w:fill="FFFFFF"/>
        <w:spacing w:before="0" w:beforeAutospacing="0" w:after="0" w:afterAutospacing="0"/>
        <w:textAlignment w:val="baseline"/>
        <w:rPr>
          <w:color w:val="000000"/>
        </w:rPr>
      </w:pPr>
    </w:p>
    <w:p w14:paraId="637E8A26" w14:textId="39B6E1ED" w:rsidR="00026D4B" w:rsidRPr="00CF3172" w:rsidRDefault="002F2003" w:rsidP="00D219AC">
      <w:pPr>
        <w:pStyle w:val="affffd"/>
        <w:numPr>
          <w:ilvl w:val="0"/>
          <w:numId w:val="17"/>
        </w:numPr>
        <w:shd w:val="clear" w:color="auto" w:fill="FFFFFF"/>
        <w:spacing w:before="0" w:beforeAutospacing="0" w:after="0" w:afterAutospacing="0"/>
        <w:ind w:left="0" w:firstLine="0"/>
        <w:jc w:val="center"/>
        <w:textAlignment w:val="baseline"/>
        <w:rPr>
          <w:b/>
          <w:bCs/>
          <w:color w:val="000000"/>
        </w:rPr>
      </w:pPr>
      <w:r w:rsidRPr="00CF3172">
        <w:rPr>
          <w:b/>
          <w:bCs/>
          <w:color w:val="000000"/>
          <w:lang w:val="en-US"/>
        </w:rPr>
        <w:t>Abstract</w:t>
      </w:r>
    </w:p>
    <w:p w14:paraId="0886B537" w14:textId="77777777" w:rsidR="00822510" w:rsidRPr="00CF3172" w:rsidRDefault="00822510" w:rsidP="00D219AC">
      <w:pPr>
        <w:pStyle w:val="affffd"/>
        <w:shd w:val="clear" w:color="auto" w:fill="FFFFFF"/>
        <w:spacing w:before="0" w:beforeAutospacing="0" w:after="0" w:afterAutospacing="0"/>
        <w:jc w:val="both"/>
        <w:rPr>
          <w:color w:val="000000"/>
        </w:rPr>
      </w:pPr>
    </w:p>
    <w:p w14:paraId="17AC773B" w14:textId="7B02B3FE" w:rsidR="002F2003" w:rsidRPr="00CF3172" w:rsidRDefault="002F2003" w:rsidP="00D219AC">
      <w:pPr>
        <w:spacing w:line="240" w:lineRule="auto"/>
        <w:ind w:firstLine="0"/>
        <w:rPr>
          <w:color w:val="000000"/>
          <w:sz w:val="24"/>
          <w:szCs w:val="24"/>
          <w:lang w:val="en-US"/>
        </w:rPr>
      </w:pPr>
      <w:r w:rsidRPr="002F2003">
        <w:rPr>
          <w:color w:val="000000"/>
          <w:sz w:val="24"/>
          <w:szCs w:val="24"/>
          <w:lang w:val="en-US"/>
        </w:rPr>
        <w:t>The course aims to</w:t>
      </w:r>
      <w:r w:rsidR="00882CC5" w:rsidRPr="00CF3172">
        <w:rPr>
          <w:color w:val="000000"/>
          <w:sz w:val="24"/>
          <w:szCs w:val="24"/>
          <w:lang w:val="en-US"/>
        </w:rPr>
        <w:t xml:space="preserve"> </w:t>
      </w:r>
      <w:r w:rsidRPr="002F2003">
        <w:rPr>
          <w:color w:val="000000"/>
          <w:sz w:val="24"/>
          <w:szCs w:val="24"/>
          <w:lang w:val="en-US"/>
        </w:rPr>
        <w:t>develop the</w:t>
      </w:r>
      <w:r w:rsidR="00882CC5" w:rsidRPr="00CF3172">
        <w:rPr>
          <w:color w:val="000000"/>
          <w:sz w:val="24"/>
          <w:szCs w:val="24"/>
          <w:lang w:val="en-US"/>
        </w:rPr>
        <w:t xml:space="preserve"> </w:t>
      </w:r>
      <w:r w:rsidRPr="002F2003">
        <w:rPr>
          <w:color w:val="000000"/>
          <w:sz w:val="24"/>
          <w:szCs w:val="24"/>
          <w:lang w:val="en-US"/>
        </w:rPr>
        <w:t>theoretical framework of</w:t>
      </w:r>
      <w:r w:rsidR="00882CC5" w:rsidRPr="00CF3172">
        <w:rPr>
          <w:color w:val="000000"/>
          <w:sz w:val="24"/>
          <w:szCs w:val="24"/>
          <w:lang w:val="en-US"/>
        </w:rPr>
        <w:t xml:space="preserve"> </w:t>
      </w:r>
      <w:r w:rsidRPr="002F2003">
        <w:rPr>
          <w:color w:val="000000"/>
          <w:sz w:val="24"/>
          <w:szCs w:val="24"/>
          <w:lang w:val="en-US"/>
        </w:rPr>
        <w:t>the</w:t>
      </w:r>
      <w:r w:rsidR="00882CC5" w:rsidRPr="00CF3172">
        <w:rPr>
          <w:color w:val="000000"/>
          <w:sz w:val="24"/>
          <w:szCs w:val="24"/>
          <w:lang w:val="en-US"/>
        </w:rPr>
        <w:t xml:space="preserve"> </w:t>
      </w:r>
      <w:r w:rsidRPr="002F2003">
        <w:rPr>
          <w:color w:val="000000"/>
          <w:sz w:val="24"/>
          <w:szCs w:val="24"/>
          <w:lang w:val="en-US"/>
        </w:rPr>
        <w:t>major financial decisions in a public company (corporation)</w:t>
      </w:r>
      <w:r w:rsidR="00882CC5" w:rsidRPr="00CF3172">
        <w:rPr>
          <w:color w:val="000000"/>
          <w:sz w:val="24"/>
          <w:szCs w:val="24"/>
          <w:lang w:val="en-US"/>
        </w:rPr>
        <w:t xml:space="preserve"> </w:t>
      </w:r>
      <w:r w:rsidRPr="002F2003">
        <w:rPr>
          <w:color w:val="000000"/>
          <w:sz w:val="24"/>
          <w:szCs w:val="24"/>
          <w:lang w:val="en-US"/>
        </w:rPr>
        <w:t>operating in market environment. Corporate Finance</w:t>
      </w:r>
      <w:r w:rsidR="00882CC5" w:rsidRPr="00CF3172">
        <w:rPr>
          <w:color w:val="000000"/>
          <w:sz w:val="24"/>
          <w:szCs w:val="24"/>
          <w:lang w:val="en-US"/>
        </w:rPr>
        <w:t xml:space="preserve"> </w:t>
      </w:r>
      <w:r w:rsidRPr="002F2003">
        <w:rPr>
          <w:color w:val="000000"/>
          <w:sz w:val="24"/>
          <w:szCs w:val="24"/>
          <w:lang w:val="en-US"/>
        </w:rPr>
        <w:t>covers capital budgeting issues, capital structure theory, payout policy, risk management</w:t>
      </w:r>
      <w:r w:rsidR="00882CC5" w:rsidRPr="00CF3172">
        <w:rPr>
          <w:color w:val="000000"/>
          <w:sz w:val="24"/>
          <w:szCs w:val="24"/>
          <w:lang w:val="en-US"/>
        </w:rPr>
        <w:t xml:space="preserve"> </w:t>
      </w:r>
      <w:r w:rsidRPr="002F2003">
        <w:rPr>
          <w:color w:val="000000"/>
          <w:sz w:val="24"/>
          <w:szCs w:val="24"/>
          <w:lang w:val="en-US"/>
        </w:rPr>
        <w:t>and M&amp;A. The course is intended to provide the basic skills in evaluating financing and investment decisions as well as their influence on corporate performance and value.</w:t>
      </w:r>
      <w:r w:rsidR="00882CC5" w:rsidRPr="00CF3172">
        <w:rPr>
          <w:color w:val="000000"/>
          <w:sz w:val="24"/>
          <w:szCs w:val="24"/>
          <w:lang w:val="en-US"/>
        </w:rPr>
        <w:t xml:space="preserve"> </w:t>
      </w:r>
      <w:r w:rsidRPr="002F2003">
        <w:rPr>
          <w:color w:val="000000"/>
          <w:sz w:val="24"/>
          <w:szCs w:val="24"/>
          <w:lang w:val="en-US"/>
        </w:rPr>
        <w:t>We use</w:t>
      </w:r>
      <w:r w:rsidR="00882CC5" w:rsidRPr="00CF3172">
        <w:rPr>
          <w:color w:val="000000"/>
          <w:sz w:val="24"/>
          <w:szCs w:val="24"/>
          <w:lang w:val="en-US"/>
        </w:rPr>
        <w:t xml:space="preserve"> </w:t>
      </w:r>
      <w:r w:rsidRPr="002F2003">
        <w:rPr>
          <w:color w:val="000000"/>
          <w:sz w:val="24"/>
          <w:szCs w:val="24"/>
          <w:lang w:val="en-US"/>
        </w:rPr>
        <w:t>the</w:t>
      </w:r>
      <w:r w:rsidR="00882CC5" w:rsidRPr="00CF3172">
        <w:rPr>
          <w:color w:val="000000"/>
          <w:sz w:val="24"/>
          <w:szCs w:val="24"/>
          <w:lang w:val="en-US"/>
        </w:rPr>
        <w:t xml:space="preserve"> </w:t>
      </w:r>
      <w:r w:rsidRPr="002F2003">
        <w:rPr>
          <w:color w:val="000000"/>
          <w:sz w:val="24"/>
          <w:szCs w:val="24"/>
          <w:lang w:val="en-US"/>
        </w:rPr>
        <w:t>real cases of</w:t>
      </w:r>
      <w:r w:rsidR="00882CC5" w:rsidRPr="00CF3172">
        <w:rPr>
          <w:color w:val="000000"/>
          <w:sz w:val="24"/>
          <w:szCs w:val="24"/>
          <w:lang w:val="en-US"/>
        </w:rPr>
        <w:t xml:space="preserve"> </w:t>
      </w:r>
      <w:r w:rsidRPr="002F2003">
        <w:rPr>
          <w:color w:val="000000"/>
          <w:sz w:val="24"/>
          <w:szCs w:val="24"/>
          <w:lang w:val="en-US"/>
        </w:rPr>
        <w:t>Russian and global companies. Students will have a chance to apply their knowledge in a group activity, estimating the economic efficiency of an</w:t>
      </w:r>
      <w:r w:rsidR="00882CC5" w:rsidRPr="00CF3172">
        <w:rPr>
          <w:color w:val="000000"/>
          <w:sz w:val="24"/>
          <w:szCs w:val="24"/>
          <w:lang w:val="en-US"/>
        </w:rPr>
        <w:t xml:space="preserve"> </w:t>
      </w:r>
      <w:r w:rsidRPr="002F2003">
        <w:rPr>
          <w:color w:val="000000"/>
          <w:sz w:val="24"/>
          <w:szCs w:val="24"/>
          <w:lang w:val="en-US"/>
        </w:rPr>
        <w:t>investment project undertaken by the company</w:t>
      </w:r>
      <w:r w:rsidR="00882CC5" w:rsidRPr="00CF3172">
        <w:rPr>
          <w:color w:val="000000"/>
          <w:sz w:val="24"/>
          <w:szCs w:val="24"/>
          <w:lang w:val="en-US"/>
        </w:rPr>
        <w:t xml:space="preserve"> </w:t>
      </w:r>
      <w:r w:rsidRPr="002F2003">
        <w:rPr>
          <w:color w:val="000000"/>
          <w:sz w:val="24"/>
          <w:szCs w:val="24"/>
          <w:lang w:val="en-US"/>
        </w:rPr>
        <w:t>of their choice.</w:t>
      </w:r>
    </w:p>
    <w:p w14:paraId="7DA7D121" w14:textId="2A0EDC0C" w:rsidR="002F2003" w:rsidRPr="008F489F" w:rsidRDefault="002F2003" w:rsidP="00D219AC">
      <w:pPr>
        <w:spacing w:line="240" w:lineRule="auto"/>
        <w:ind w:firstLine="0"/>
        <w:rPr>
          <w:color w:val="000000"/>
          <w:sz w:val="18"/>
          <w:szCs w:val="18"/>
          <w:lang w:val="en-US"/>
        </w:rPr>
      </w:pPr>
    </w:p>
    <w:p w14:paraId="1E0F4430" w14:textId="77777777" w:rsidR="002F2003" w:rsidRPr="002F2003" w:rsidRDefault="002F2003" w:rsidP="00D219AC">
      <w:pPr>
        <w:spacing w:line="240" w:lineRule="auto"/>
        <w:ind w:firstLine="0"/>
        <w:rPr>
          <w:color w:val="212121"/>
          <w:sz w:val="24"/>
          <w:szCs w:val="24"/>
          <w:lang w:val="en-US"/>
        </w:rPr>
      </w:pPr>
      <w:r w:rsidRPr="002F2003">
        <w:rPr>
          <w:color w:val="000000"/>
          <w:sz w:val="24"/>
          <w:szCs w:val="24"/>
          <w:lang w:val="en-US"/>
        </w:rPr>
        <w:t>Having successfully completed the course, students are expected to:</w:t>
      </w:r>
    </w:p>
    <w:p w14:paraId="4AB7B5FC" w14:textId="6E3EF4CB"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Understand</w:t>
      </w:r>
      <w:r w:rsidR="00882CC5" w:rsidRPr="00CF3172">
        <w:rPr>
          <w:color w:val="000000"/>
          <w:szCs w:val="24"/>
          <w:lang w:val="en-US"/>
        </w:rPr>
        <w:t xml:space="preserve"> </w:t>
      </w:r>
      <w:r w:rsidRPr="00CF3172">
        <w:rPr>
          <w:color w:val="000000"/>
          <w:szCs w:val="24"/>
          <w:lang w:val="en-US"/>
        </w:rPr>
        <w:t>the</w:t>
      </w:r>
      <w:r w:rsidR="00882CC5" w:rsidRPr="00CF3172">
        <w:rPr>
          <w:color w:val="000000"/>
          <w:szCs w:val="24"/>
          <w:lang w:val="en-US"/>
        </w:rPr>
        <w:t xml:space="preserve"> </w:t>
      </w:r>
      <w:r w:rsidRPr="00CF3172">
        <w:rPr>
          <w:color w:val="000000"/>
          <w:szCs w:val="24"/>
          <w:lang w:val="en-US"/>
        </w:rPr>
        <w:t>principles of modern financial analysis</w:t>
      </w:r>
      <w:r w:rsidR="00882CC5" w:rsidRPr="00CF3172">
        <w:rPr>
          <w:color w:val="000000"/>
          <w:szCs w:val="24"/>
          <w:lang w:val="en-US"/>
        </w:rPr>
        <w:t xml:space="preserve"> </w:t>
      </w:r>
      <w:r w:rsidRPr="00CF3172">
        <w:rPr>
          <w:color w:val="000000"/>
          <w:szCs w:val="24"/>
          <w:lang w:val="en-US"/>
        </w:rPr>
        <w:t>and apply capital budgeting techniques in making investment decisions;</w:t>
      </w:r>
    </w:p>
    <w:p w14:paraId="04CD6881" w14:textId="01AFABED"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Evaluate</w:t>
      </w:r>
      <w:r w:rsidR="00882CC5" w:rsidRPr="00CF3172">
        <w:rPr>
          <w:color w:val="000000"/>
          <w:szCs w:val="24"/>
          <w:lang w:val="en-US"/>
        </w:rPr>
        <w:t xml:space="preserve"> </w:t>
      </w:r>
      <w:r w:rsidRPr="00CF3172">
        <w:rPr>
          <w:color w:val="000000"/>
          <w:szCs w:val="24"/>
          <w:lang w:val="en-US"/>
        </w:rPr>
        <w:t>capital structure decisions and understand how market imperfections influence capital structure decisions;</w:t>
      </w:r>
    </w:p>
    <w:p w14:paraId="572EDC2D" w14:textId="58E3D183"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Discuss different stakeholders’ goals as a source of agency conflicts;</w:t>
      </w:r>
    </w:p>
    <w:p w14:paraId="3BC196D8" w14:textId="1C2F5B9E"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Explain corporate payout decisions and discuss the</w:t>
      </w:r>
      <w:r w:rsidR="00882CC5" w:rsidRPr="00CF3172">
        <w:rPr>
          <w:color w:val="000000"/>
          <w:szCs w:val="24"/>
          <w:lang w:val="en-US"/>
        </w:rPr>
        <w:t xml:space="preserve"> </w:t>
      </w:r>
      <w:r w:rsidRPr="00CF3172">
        <w:rPr>
          <w:color w:val="000000"/>
          <w:szCs w:val="24"/>
          <w:lang w:val="en-US"/>
        </w:rPr>
        <w:t>market reaction to the changes of</w:t>
      </w:r>
      <w:r w:rsidR="00882CC5" w:rsidRPr="00CF3172">
        <w:rPr>
          <w:color w:val="000000"/>
          <w:szCs w:val="24"/>
          <w:lang w:val="en-US"/>
        </w:rPr>
        <w:t xml:space="preserve"> </w:t>
      </w:r>
      <w:r w:rsidRPr="00CF3172">
        <w:rPr>
          <w:color w:val="000000"/>
          <w:szCs w:val="24"/>
          <w:lang w:val="en-US"/>
        </w:rPr>
        <w:t>dividend policy;</w:t>
      </w:r>
    </w:p>
    <w:p w14:paraId="0CC4B6E9" w14:textId="6FE667CD"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Analyze</w:t>
      </w:r>
      <w:r w:rsidR="00882CC5" w:rsidRPr="00CF3172">
        <w:rPr>
          <w:color w:val="000000"/>
          <w:szCs w:val="24"/>
          <w:lang w:val="en-US"/>
        </w:rPr>
        <w:t xml:space="preserve"> </w:t>
      </w:r>
      <w:r w:rsidRPr="00CF3172">
        <w:rPr>
          <w:color w:val="000000"/>
          <w:szCs w:val="24"/>
          <w:lang w:val="en-US"/>
        </w:rPr>
        <w:t>risk management decisions and the</w:t>
      </w:r>
      <w:r w:rsidR="00882CC5" w:rsidRPr="00CF3172">
        <w:rPr>
          <w:color w:val="000000"/>
          <w:szCs w:val="24"/>
          <w:lang w:val="en-US"/>
        </w:rPr>
        <w:t xml:space="preserve"> </w:t>
      </w:r>
      <w:r w:rsidRPr="00CF3172">
        <w:rPr>
          <w:color w:val="000000"/>
          <w:szCs w:val="24"/>
          <w:lang w:val="en-US"/>
        </w:rPr>
        <w:t>sources to increase company value;</w:t>
      </w:r>
    </w:p>
    <w:p w14:paraId="71A9C555" w14:textId="5CBCD2C5" w:rsidR="002F2003" w:rsidRPr="00CF3172" w:rsidRDefault="002F2003" w:rsidP="00D219AC">
      <w:pPr>
        <w:pStyle w:val="a3"/>
        <w:numPr>
          <w:ilvl w:val="0"/>
          <w:numId w:val="22"/>
        </w:numPr>
        <w:spacing w:line="240" w:lineRule="auto"/>
        <w:rPr>
          <w:color w:val="212121"/>
          <w:szCs w:val="24"/>
          <w:lang w:val="en-US"/>
        </w:rPr>
      </w:pPr>
      <w:r w:rsidRPr="00CF3172">
        <w:rPr>
          <w:color w:val="000000"/>
          <w:szCs w:val="24"/>
          <w:lang w:val="en-US"/>
        </w:rPr>
        <w:t>Discuss M&amp;A motives and value creation via restructuring.</w:t>
      </w:r>
    </w:p>
    <w:p w14:paraId="19045307" w14:textId="34CCE147" w:rsidR="002F2003" w:rsidRPr="002F2003" w:rsidRDefault="002F2003" w:rsidP="00D219AC">
      <w:pPr>
        <w:spacing w:line="240" w:lineRule="auto"/>
        <w:ind w:firstLine="0"/>
        <w:rPr>
          <w:color w:val="212121"/>
          <w:sz w:val="18"/>
          <w:szCs w:val="18"/>
          <w:lang w:val="en-US"/>
        </w:rPr>
      </w:pPr>
    </w:p>
    <w:p w14:paraId="55F204D7" w14:textId="0A3DECF9" w:rsidR="002F2003" w:rsidRPr="002F2003" w:rsidRDefault="002F2003" w:rsidP="00D219AC">
      <w:pPr>
        <w:spacing w:line="240" w:lineRule="auto"/>
        <w:ind w:firstLine="0"/>
        <w:rPr>
          <w:color w:val="212121"/>
          <w:sz w:val="24"/>
          <w:szCs w:val="24"/>
          <w:lang w:val="en-US"/>
        </w:rPr>
      </w:pPr>
      <w:r w:rsidRPr="002F2003">
        <w:rPr>
          <w:color w:val="000000"/>
          <w:sz w:val="24"/>
          <w:szCs w:val="24"/>
          <w:lang w:val="en-US"/>
        </w:rPr>
        <w:t>There are no specific prerequisites for the course, however,</w:t>
      </w:r>
      <w:r w:rsidR="00882CC5" w:rsidRPr="00CF3172">
        <w:rPr>
          <w:color w:val="000000"/>
          <w:sz w:val="24"/>
          <w:szCs w:val="24"/>
          <w:lang w:val="en-US"/>
        </w:rPr>
        <w:t xml:space="preserve"> </w:t>
      </w:r>
      <w:r w:rsidRPr="002F2003">
        <w:rPr>
          <w:color w:val="000000"/>
          <w:sz w:val="24"/>
          <w:szCs w:val="24"/>
          <w:lang w:val="en-US"/>
        </w:rPr>
        <w:t>students should be familiar with the fundamentals of Financial Economics,</w:t>
      </w:r>
      <w:r w:rsidR="00882CC5" w:rsidRPr="00CF3172">
        <w:rPr>
          <w:color w:val="000000"/>
          <w:sz w:val="24"/>
          <w:szCs w:val="24"/>
          <w:lang w:val="en-US"/>
        </w:rPr>
        <w:t xml:space="preserve"> </w:t>
      </w:r>
      <w:r w:rsidRPr="002F2003">
        <w:rPr>
          <w:color w:val="000000"/>
          <w:sz w:val="24"/>
          <w:szCs w:val="24"/>
          <w:lang w:val="en-US"/>
        </w:rPr>
        <w:t>Microeconomics (basic level)</w:t>
      </w:r>
      <w:r w:rsidR="00882CC5" w:rsidRPr="00CF3172">
        <w:rPr>
          <w:color w:val="000000"/>
          <w:sz w:val="24"/>
          <w:szCs w:val="24"/>
          <w:lang w:val="en-US"/>
        </w:rPr>
        <w:t xml:space="preserve"> </w:t>
      </w:r>
      <w:r w:rsidRPr="002F2003">
        <w:rPr>
          <w:color w:val="000000"/>
          <w:sz w:val="24"/>
          <w:szCs w:val="24"/>
          <w:lang w:val="en-US"/>
        </w:rPr>
        <w:t>and</w:t>
      </w:r>
      <w:r w:rsidR="00882CC5" w:rsidRPr="00CF3172">
        <w:rPr>
          <w:color w:val="000000"/>
          <w:sz w:val="24"/>
          <w:szCs w:val="24"/>
          <w:lang w:val="en-US"/>
        </w:rPr>
        <w:t xml:space="preserve"> </w:t>
      </w:r>
      <w:r w:rsidRPr="002F2003">
        <w:rPr>
          <w:color w:val="000000"/>
          <w:sz w:val="24"/>
          <w:szCs w:val="24"/>
          <w:lang w:val="en-US"/>
        </w:rPr>
        <w:t>Accounting.</w:t>
      </w:r>
    </w:p>
    <w:p w14:paraId="2BA25949" w14:textId="05FB0F2E" w:rsidR="00822510" w:rsidRDefault="00822510" w:rsidP="00D219AC">
      <w:pPr>
        <w:pStyle w:val="affffd"/>
        <w:shd w:val="clear" w:color="auto" w:fill="FFFFFF"/>
        <w:spacing w:before="0" w:beforeAutospacing="0" w:after="0" w:afterAutospacing="0"/>
        <w:jc w:val="both"/>
        <w:rPr>
          <w:color w:val="000000"/>
          <w:lang w:val="en-US"/>
        </w:rPr>
      </w:pPr>
    </w:p>
    <w:p w14:paraId="0B821994" w14:textId="77777777" w:rsidR="00B171BF" w:rsidRPr="00CF3172" w:rsidRDefault="00B171BF" w:rsidP="00D219AC">
      <w:pPr>
        <w:pStyle w:val="affffd"/>
        <w:shd w:val="clear" w:color="auto" w:fill="FFFFFF"/>
        <w:spacing w:before="0" w:beforeAutospacing="0" w:after="0" w:afterAutospacing="0"/>
        <w:jc w:val="both"/>
        <w:rPr>
          <w:color w:val="000000"/>
          <w:lang w:val="en-US"/>
        </w:rPr>
      </w:pPr>
    </w:p>
    <w:p w14:paraId="0E48201C" w14:textId="2998787F" w:rsidR="00026D4B" w:rsidRPr="00CF3172" w:rsidRDefault="002F2003" w:rsidP="00D219AC">
      <w:pPr>
        <w:pStyle w:val="affffd"/>
        <w:numPr>
          <w:ilvl w:val="0"/>
          <w:numId w:val="17"/>
        </w:numPr>
        <w:shd w:val="clear" w:color="auto" w:fill="FFFFFF"/>
        <w:spacing w:before="0" w:beforeAutospacing="0" w:after="0" w:afterAutospacing="0"/>
        <w:ind w:left="0" w:firstLine="0"/>
        <w:jc w:val="center"/>
        <w:textAlignment w:val="baseline"/>
        <w:rPr>
          <w:b/>
          <w:bCs/>
          <w:color w:val="000000"/>
        </w:rPr>
      </w:pPr>
      <w:r w:rsidRPr="00CF3172">
        <w:rPr>
          <w:b/>
          <w:bCs/>
          <w:color w:val="000000"/>
          <w:lang w:val="en-US"/>
        </w:rPr>
        <w:t>S</w:t>
      </w:r>
      <w:r w:rsidR="00AD1C18" w:rsidRPr="00CF3172">
        <w:rPr>
          <w:b/>
          <w:bCs/>
          <w:color w:val="000000"/>
          <w:lang w:val="en-US"/>
        </w:rPr>
        <w:t>tructure</w:t>
      </w:r>
    </w:p>
    <w:p w14:paraId="00049CCE" w14:textId="77777777" w:rsidR="00822510" w:rsidRPr="00CF3172" w:rsidRDefault="00822510" w:rsidP="00D219AC">
      <w:pPr>
        <w:pStyle w:val="affffd"/>
        <w:shd w:val="clear" w:color="auto" w:fill="FFFFFF"/>
        <w:spacing w:before="0" w:beforeAutospacing="0" w:after="0" w:afterAutospacing="0"/>
        <w:textAlignment w:val="baseline"/>
        <w:rPr>
          <w:b/>
          <w:bCs/>
          <w:color w:val="000000"/>
        </w:rPr>
      </w:pPr>
    </w:p>
    <w:tbl>
      <w:tblPr>
        <w:tblW w:w="9913" w:type="dxa"/>
        <w:tblLook w:val="04A0" w:firstRow="1" w:lastRow="0" w:firstColumn="1" w:lastColumn="0" w:noHBand="0" w:noVBand="1"/>
      </w:tblPr>
      <w:tblGrid>
        <w:gridCol w:w="557"/>
        <w:gridCol w:w="4253"/>
        <w:gridCol w:w="1276"/>
        <w:gridCol w:w="1275"/>
        <w:gridCol w:w="1276"/>
        <w:gridCol w:w="1276"/>
      </w:tblGrid>
      <w:tr w:rsidR="00D52977" w:rsidRPr="00CF3172" w14:paraId="0CB4BA88" w14:textId="77777777" w:rsidTr="00D52977">
        <w:trPr>
          <w:trHeight w:val="570"/>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003B04" w14:textId="77777777" w:rsidR="00D52977" w:rsidRPr="00CF3172" w:rsidRDefault="00D52977" w:rsidP="008F489F">
            <w:pPr>
              <w:snapToGrid w:val="0"/>
              <w:spacing w:line="240" w:lineRule="auto"/>
              <w:ind w:firstLine="0"/>
              <w:jc w:val="center"/>
              <w:rPr>
                <w:b/>
                <w:bCs/>
                <w:color w:val="000000"/>
                <w:sz w:val="24"/>
                <w:szCs w:val="24"/>
              </w:rPr>
            </w:pPr>
            <w:r w:rsidRPr="00CF3172">
              <w:rPr>
                <w:b/>
                <w:bCs/>
                <w:color w:val="000000"/>
                <w:sz w:val="24"/>
                <w:szCs w:val="24"/>
                <w:lang w:val="en-US"/>
              </w:rPr>
              <w:t>#</w:t>
            </w:r>
          </w:p>
        </w:tc>
        <w:tc>
          <w:tcPr>
            <w:tcW w:w="42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E4DA6D" w14:textId="77777777" w:rsidR="00D52977" w:rsidRPr="00CF3172" w:rsidRDefault="00D52977" w:rsidP="008F489F">
            <w:pPr>
              <w:snapToGrid w:val="0"/>
              <w:spacing w:line="240" w:lineRule="auto"/>
              <w:ind w:firstLine="0"/>
              <w:jc w:val="left"/>
              <w:rPr>
                <w:b/>
                <w:bCs/>
                <w:color w:val="000000"/>
                <w:sz w:val="24"/>
                <w:szCs w:val="24"/>
              </w:rPr>
            </w:pPr>
            <w:r w:rsidRPr="00CF3172">
              <w:rPr>
                <w:b/>
                <w:bCs/>
                <w:color w:val="000000"/>
                <w:sz w:val="24"/>
                <w:szCs w:val="24"/>
                <w:lang w:val="en-US"/>
              </w:rPr>
              <w:t>Topic</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9C645C" w14:textId="77777777" w:rsidR="00D52977" w:rsidRPr="00CF3172" w:rsidRDefault="00D52977" w:rsidP="008F489F">
            <w:pPr>
              <w:snapToGrid w:val="0"/>
              <w:spacing w:line="240" w:lineRule="auto"/>
              <w:ind w:firstLine="0"/>
              <w:jc w:val="center"/>
              <w:rPr>
                <w:b/>
                <w:bCs/>
                <w:color w:val="000000"/>
                <w:sz w:val="24"/>
                <w:szCs w:val="24"/>
              </w:rPr>
            </w:pPr>
            <w:r w:rsidRPr="00CF3172">
              <w:rPr>
                <w:b/>
                <w:bCs/>
                <w:color w:val="000000"/>
                <w:sz w:val="24"/>
                <w:szCs w:val="24"/>
                <w:lang w:val="en-US"/>
              </w:rPr>
              <w:t xml:space="preserve">Total hours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C2F252" w14:textId="77777777" w:rsidR="00D52977" w:rsidRPr="00CF3172" w:rsidRDefault="00D52977" w:rsidP="008F489F">
            <w:pPr>
              <w:snapToGrid w:val="0"/>
              <w:spacing w:line="240" w:lineRule="auto"/>
              <w:ind w:firstLine="0"/>
              <w:jc w:val="center"/>
              <w:rPr>
                <w:b/>
                <w:bCs/>
                <w:color w:val="000000"/>
                <w:sz w:val="24"/>
                <w:szCs w:val="24"/>
              </w:rPr>
            </w:pPr>
            <w:r w:rsidRPr="00CF3172">
              <w:rPr>
                <w:b/>
                <w:bCs/>
                <w:color w:val="000000"/>
                <w:sz w:val="24"/>
                <w:szCs w:val="24"/>
                <w:lang w:val="en-US"/>
              </w:rPr>
              <w:t>Lectures</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D6DF8C" w14:textId="77777777" w:rsidR="00D52977" w:rsidRPr="00CF3172" w:rsidRDefault="00D52977" w:rsidP="008F489F">
            <w:pPr>
              <w:snapToGrid w:val="0"/>
              <w:spacing w:line="240" w:lineRule="auto"/>
              <w:ind w:firstLine="0"/>
              <w:jc w:val="center"/>
              <w:rPr>
                <w:b/>
                <w:bCs/>
                <w:color w:val="000000"/>
                <w:sz w:val="24"/>
                <w:szCs w:val="24"/>
                <w:lang w:val="en-US"/>
              </w:rPr>
            </w:pPr>
            <w:r w:rsidRPr="00CF3172">
              <w:rPr>
                <w:b/>
                <w:bCs/>
                <w:color w:val="000000"/>
                <w:sz w:val="24"/>
                <w:szCs w:val="24"/>
                <w:lang w:val="en-US"/>
              </w:rPr>
              <w:t>Classes</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4ADAB3" w14:textId="77777777" w:rsidR="00D52977" w:rsidRPr="00CF3172" w:rsidRDefault="00D52977" w:rsidP="008F489F">
            <w:pPr>
              <w:snapToGrid w:val="0"/>
              <w:spacing w:line="240" w:lineRule="auto"/>
              <w:ind w:firstLine="0"/>
              <w:jc w:val="center"/>
              <w:rPr>
                <w:b/>
                <w:bCs/>
                <w:color w:val="000000"/>
                <w:sz w:val="24"/>
                <w:szCs w:val="24"/>
              </w:rPr>
            </w:pPr>
            <w:r w:rsidRPr="00CF3172">
              <w:rPr>
                <w:b/>
                <w:bCs/>
                <w:color w:val="000000"/>
                <w:sz w:val="24"/>
                <w:szCs w:val="24"/>
                <w:lang w:val="en-US"/>
              </w:rPr>
              <w:t>Self-study</w:t>
            </w:r>
          </w:p>
        </w:tc>
      </w:tr>
      <w:tr w:rsidR="00D52977" w:rsidRPr="00CF3172" w14:paraId="7E157F1E" w14:textId="77777777" w:rsidTr="00D52977">
        <w:trPr>
          <w:trHeight w:val="57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0C649B0D" w14:textId="77777777" w:rsidR="00D52977" w:rsidRPr="00CF3172" w:rsidRDefault="00D52977" w:rsidP="008F489F">
            <w:pPr>
              <w:snapToGrid w:val="0"/>
              <w:spacing w:line="240" w:lineRule="auto"/>
              <w:ind w:firstLine="0"/>
              <w:jc w:val="left"/>
              <w:rPr>
                <w:color w:val="000000"/>
                <w:sz w:val="24"/>
                <w:szCs w:val="24"/>
              </w:rPr>
            </w:pPr>
          </w:p>
        </w:tc>
        <w:tc>
          <w:tcPr>
            <w:tcW w:w="4253" w:type="dxa"/>
            <w:vMerge/>
            <w:tcBorders>
              <w:top w:val="single" w:sz="8" w:space="0" w:color="000000"/>
              <w:left w:val="single" w:sz="8" w:space="0" w:color="000000"/>
              <w:bottom w:val="single" w:sz="8" w:space="0" w:color="000000"/>
              <w:right w:val="single" w:sz="8" w:space="0" w:color="000000"/>
            </w:tcBorders>
            <w:vAlign w:val="center"/>
            <w:hideMark/>
          </w:tcPr>
          <w:p w14:paraId="0A9CE934" w14:textId="77777777" w:rsidR="00D52977" w:rsidRPr="00CF3172" w:rsidRDefault="00D52977" w:rsidP="008F489F">
            <w:pPr>
              <w:snapToGrid w:val="0"/>
              <w:spacing w:line="240" w:lineRule="auto"/>
              <w:ind w:firstLine="0"/>
              <w:jc w:val="left"/>
              <w:rPr>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0AB2FE8" w14:textId="77777777" w:rsidR="00D52977" w:rsidRPr="00CF3172" w:rsidRDefault="00D52977" w:rsidP="008F489F">
            <w:pPr>
              <w:snapToGrid w:val="0"/>
              <w:spacing w:line="240" w:lineRule="auto"/>
              <w:ind w:firstLine="0"/>
              <w:jc w:val="left"/>
              <w:rPr>
                <w:color w:val="000000"/>
                <w:sz w:val="24"/>
                <w:szCs w:val="24"/>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0259BD2E" w14:textId="77777777" w:rsidR="00D52977" w:rsidRPr="00CF3172" w:rsidRDefault="00D52977" w:rsidP="008F489F">
            <w:pPr>
              <w:snapToGrid w:val="0"/>
              <w:spacing w:line="240" w:lineRule="auto"/>
              <w:ind w:firstLine="0"/>
              <w:jc w:val="left"/>
              <w:rPr>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7BB331A" w14:textId="77777777" w:rsidR="00D52977" w:rsidRPr="00CF3172" w:rsidRDefault="00D52977" w:rsidP="008F489F">
            <w:pPr>
              <w:snapToGrid w:val="0"/>
              <w:spacing w:line="240" w:lineRule="auto"/>
              <w:ind w:firstLine="0"/>
              <w:jc w:val="left"/>
              <w:rPr>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3A4386C" w14:textId="77777777" w:rsidR="00D52977" w:rsidRPr="00CF3172" w:rsidRDefault="00D52977" w:rsidP="008F489F">
            <w:pPr>
              <w:snapToGrid w:val="0"/>
              <w:spacing w:line="240" w:lineRule="auto"/>
              <w:ind w:firstLine="0"/>
              <w:jc w:val="left"/>
              <w:rPr>
                <w:color w:val="000000"/>
                <w:sz w:val="24"/>
                <w:szCs w:val="24"/>
              </w:rPr>
            </w:pPr>
          </w:p>
        </w:tc>
      </w:tr>
      <w:tr w:rsidR="00D52977" w:rsidRPr="00CF3172" w14:paraId="486112C3" w14:textId="77777777" w:rsidTr="00D52977">
        <w:trPr>
          <w:trHeight w:val="549"/>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4988E74" w14:textId="1BAF2940"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t>1</w:t>
            </w:r>
          </w:p>
        </w:tc>
        <w:tc>
          <w:tcPr>
            <w:tcW w:w="4253" w:type="dxa"/>
            <w:tcBorders>
              <w:top w:val="nil"/>
              <w:left w:val="nil"/>
              <w:bottom w:val="single" w:sz="8" w:space="0" w:color="000000"/>
              <w:right w:val="single" w:sz="8" w:space="0" w:color="000000"/>
            </w:tcBorders>
            <w:shd w:val="clear" w:color="auto" w:fill="auto"/>
            <w:vAlign w:val="center"/>
            <w:hideMark/>
          </w:tcPr>
          <w:p w14:paraId="1B9DFA85" w14:textId="06D560E4" w:rsidR="00D52977" w:rsidRPr="00CF3172" w:rsidRDefault="00D52977" w:rsidP="008F489F">
            <w:pPr>
              <w:snapToGrid w:val="0"/>
              <w:spacing w:line="240" w:lineRule="auto"/>
              <w:ind w:firstLine="0"/>
              <w:jc w:val="left"/>
              <w:rPr>
                <w:color w:val="000000"/>
                <w:sz w:val="24"/>
                <w:szCs w:val="24"/>
              </w:rPr>
            </w:pPr>
            <w:r w:rsidRPr="00CF3172">
              <w:rPr>
                <w:color w:val="000000"/>
                <w:sz w:val="24"/>
                <w:szCs w:val="24"/>
                <w:lang w:val="en-US"/>
              </w:rPr>
              <w:t>Investment decisions</w:t>
            </w:r>
            <w:r w:rsidR="00882CC5" w:rsidRPr="00CF3172">
              <w:rPr>
                <w:color w:val="000000"/>
                <w:sz w:val="24"/>
                <w:szCs w:val="24"/>
                <w:lang w:val="en-US"/>
              </w:rPr>
              <w:t>: capital budgeting</w:t>
            </w:r>
          </w:p>
        </w:tc>
        <w:tc>
          <w:tcPr>
            <w:tcW w:w="1276" w:type="dxa"/>
            <w:tcBorders>
              <w:top w:val="nil"/>
              <w:left w:val="nil"/>
              <w:bottom w:val="single" w:sz="8" w:space="0" w:color="000000"/>
              <w:right w:val="single" w:sz="8" w:space="0" w:color="000000"/>
            </w:tcBorders>
            <w:shd w:val="clear" w:color="auto" w:fill="auto"/>
            <w:vAlign w:val="center"/>
            <w:hideMark/>
          </w:tcPr>
          <w:p w14:paraId="16A075E5" w14:textId="7B2DCFD1"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6</w:t>
            </w:r>
          </w:p>
        </w:tc>
        <w:tc>
          <w:tcPr>
            <w:tcW w:w="1275" w:type="dxa"/>
            <w:tcBorders>
              <w:top w:val="nil"/>
              <w:left w:val="nil"/>
              <w:bottom w:val="single" w:sz="8" w:space="0" w:color="000000"/>
              <w:right w:val="single" w:sz="8" w:space="0" w:color="000000"/>
            </w:tcBorders>
            <w:shd w:val="clear" w:color="auto" w:fill="auto"/>
            <w:vAlign w:val="center"/>
            <w:hideMark/>
          </w:tcPr>
          <w:p w14:paraId="24D780CC" w14:textId="61CCB89D"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7A74EB32" w14:textId="7C48AABC"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726FDC3D" w14:textId="1C17C896"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D52977" w:rsidRPr="00CF3172" w14:paraId="2E7D95E1" w14:textId="77777777" w:rsidTr="00D52977">
        <w:trPr>
          <w:trHeight w:val="557"/>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F198D65" w14:textId="5B9BCFCE"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t>2</w:t>
            </w:r>
          </w:p>
        </w:tc>
        <w:tc>
          <w:tcPr>
            <w:tcW w:w="4253" w:type="dxa"/>
            <w:tcBorders>
              <w:top w:val="nil"/>
              <w:left w:val="nil"/>
              <w:bottom w:val="single" w:sz="8" w:space="0" w:color="000000"/>
              <w:right w:val="single" w:sz="8" w:space="0" w:color="000000"/>
            </w:tcBorders>
            <w:shd w:val="clear" w:color="auto" w:fill="auto"/>
            <w:vAlign w:val="center"/>
            <w:hideMark/>
          </w:tcPr>
          <w:p w14:paraId="22522B44" w14:textId="07AE5C97" w:rsidR="00D52977" w:rsidRPr="00CF3172" w:rsidRDefault="00D52977" w:rsidP="008F489F">
            <w:pPr>
              <w:snapToGrid w:val="0"/>
              <w:spacing w:line="240" w:lineRule="auto"/>
              <w:ind w:firstLine="0"/>
              <w:jc w:val="left"/>
              <w:rPr>
                <w:color w:val="000000"/>
                <w:sz w:val="24"/>
                <w:szCs w:val="24"/>
                <w:lang w:val="en-US"/>
              </w:rPr>
            </w:pPr>
            <w:r w:rsidRPr="00CF3172">
              <w:rPr>
                <w:color w:val="000000"/>
                <w:sz w:val="24"/>
                <w:szCs w:val="24"/>
                <w:lang w:val="en-US"/>
              </w:rPr>
              <w:t>Capital structure choice</w:t>
            </w:r>
            <w:r w:rsidR="00882CC5" w:rsidRPr="00CF3172">
              <w:rPr>
                <w:color w:val="000000"/>
                <w:sz w:val="24"/>
                <w:szCs w:val="24"/>
                <w:lang w:val="en-US"/>
              </w:rPr>
              <w:t>,</w:t>
            </w:r>
            <w:r w:rsidRPr="00CF3172">
              <w:rPr>
                <w:color w:val="000000"/>
                <w:sz w:val="24"/>
                <w:szCs w:val="24"/>
                <w:lang w:val="en-US"/>
              </w:rPr>
              <w:t xml:space="preserve"> corporate value</w:t>
            </w:r>
            <w:r w:rsidR="00882CC5" w:rsidRPr="00CF3172">
              <w:rPr>
                <w:color w:val="000000"/>
                <w:sz w:val="24"/>
                <w:szCs w:val="24"/>
                <w:lang w:val="en-US"/>
              </w:rPr>
              <w:t xml:space="preserve"> and the cost of capital</w:t>
            </w:r>
          </w:p>
        </w:tc>
        <w:tc>
          <w:tcPr>
            <w:tcW w:w="1276" w:type="dxa"/>
            <w:tcBorders>
              <w:top w:val="nil"/>
              <w:left w:val="nil"/>
              <w:bottom w:val="single" w:sz="8" w:space="0" w:color="000000"/>
              <w:right w:val="single" w:sz="8" w:space="0" w:color="000000"/>
            </w:tcBorders>
            <w:shd w:val="clear" w:color="auto" w:fill="auto"/>
            <w:vAlign w:val="center"/>
            <w:hideMark/>
          </w:tcPr>
          <w:p w14:paraId="4552A5CC" w14:textId="278A7911"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8</w:t>
            </w:r>
          </w:p>
        </w:tc>
        <w:tc>
          <w:tcPr>
            <w:tcW w:w="1275" w:type="dxa"/>
            <w:tcBorders>
              <w:top w:val="nil"/>
              <w:left w:val="nil"/>
              <w:bottom w:val="single" w:sz="8" w:space="0" w:color="000000"/>
              <w:right w:val="single" w:sz="8" w:space="0" w:color="000000"/>
            </w:tcBorders>
            <w:shd w:val="clear" w:color="auto" w:fill="auto"/>
            <w:vAlign w:val="center"/>
            <w:hideMark/>
          </w:tcPr>
          <w:p w14:paraId="0EAF51A3" w14:textId="05D33E33"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76DB9B79" w14:textId="0ACAE117"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61E8792D" w14:textId="61FB27AC"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4</w:t>
            </w:r>
          </w:p>
        </w:tc>
      </w:tr>
      <w:tr w:rsidR="00D52977" w:rsidRPr="00CF3172" w14:paraId="222F5751" w14:textId="77777777" w:rsidTr="00D52977">
        <w:trPr>
          <w:trHeight w:val="537"/>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2EBAD1C" w14:textId="5DE2D91F"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t>3</w:t>
            </w:r>
          </w:p>
        </w:tc>
        <w:tc>
          <w:tcPr>
            <w:tcW w:w="4253" w:type="dxa"/>
            <w:tcBorders>
              <w:top w:val="nil"/>
              <w:left w:val="nil"/>
              <w:bottom w:val="single" w:sz="8" w:space="0" w:color="000000"/>
              <w:right w:val="single" w:sz="8" w:space="0" w:color="000000"/>
            </w:tcBorders>
            <w:shd w:val="clear" w:color="auto" w:fill="auto"/>
            <w:vAlign w:val="center"/>
            <w:hideMark/>
          </w:tcPr>
          <w:p w14:paraId="465CD2E1" w14:textId="41123267" w:rsidR="00D52977" w:rsidRPr="00CF3172" w:rsidRDefault="009E6BC5" w:rsidP="008F489F">
            <w:pPr>
              <w:snapToGrid w:val="0"/>
              <w:spacing w:line="240" w:lineRule="auto"/>
              <w:ind w:firstLine="0"/>
              <w:jc w:val="left"/>
              <w:rPr>
                <w:color w:val="000000"/>
                <w:sz w:val="24"/>
                <w:szCs w:val="24"/>
                <w:lang w:val="en-US"/>
              </w:rPr>
            </w:pPr>
            <w:r w:rsidRPr="00CF3172">
              <w:rPr>
                <w:color w:val="000000"/>
                <w:sz w:val="24"/>
                <w:szCs w:val="24"/>
                <w:lang w:val="en-US"/>
              </w:rPr>
              <w:t>Agency cost and asymmetric information</w:t>
            </w:r>
          </w:p>
        </w:tc>
        <w:tc>
          <w:tcPr>
            <w:tcW w:w="1276" w:type="dxa"/>
            <w:tcBorders>
              <w:top w:val="nil"/>
              <w:left w:val="nil"/>
              <w:bottom w:val="single" w:sz="8" w:space="0" w:color="000000"/>
              <w:right w:val="single" w:sz="8" w:space="0" w:color="000000"/>
            </w:tcBorders>
            <w:shd w:val="clear" w:color="auto" w:fill="auto"/>
            <w:vAlign w:val="center"/>
            <w:hideMark/>
          </w:tcPr>
          <w:p w14:paraId="7212D50E" w14:textId="065349A3"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6</w:t>
            </w:r>
          </w:p>
        </w:tc>
        <w:tc>
          <w:tcPr>
            <w:tcW w:w="1275" w:type="dxa"/>
            <w:tcBorders>
              <w:top w:val="nil"/>
              <w:left w:val="nil"/>
              <w:bottom w:val="single" w:sz="8" w:space="0" w:color="000000"/>
              <w:right w:val="single" w:sz="8" w:space="0" w:color="000000"/>
            </w:tcBorders>
            <w:shd w:val="clear" w:color="auto" w:fill="auto"/>
            <w:vAlign w:val="center"/>
            <w:hideMark/>
          </w:tcPr>
          <w:p w14:paraId="578479B0" w14:textId="1405D1DE"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103D3BAB" w14:textId="2429ED53"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1826C3B9" w14:textId="04D8DE52"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D52977" w:rsidRPr="00CF3172" w14:paraId="6E3EB59D" w14:textId="77777777" w:rsidTr="00D52977">
        <w:trPr>
          <w:trHeight w:val="545"/>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D35805E" w14:textId="2385A4E0"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t>4</w:t>
            </w:r>
          </w:p>
        </w:tc>
        <w:tc>
          <w:tcPr>
            <w:tcW w:w="4253" w:type="dxa"/>
            <w:tcBorders>
              <w:top w:val="nil"/>
              <w:left w:val="nil"/>
              <w:bottom w:val="single" w:sz="8" w:space="0" w:color="000000"/>
              <w:right w:val="single" w:sz="8" w:space="0" w:color="000000"/>
            </w:tcBorders>
            <w:shd w:val="clear" w:color="auto" w:fill="auto"/>
            <w:vAlign w:val="center"/>
            <w:hideMark/>
          </w:tcPr>
          <w:p w14:paraId="588A43A1" w14:textId="42F2C51F" w:rsidR="00D52977" w:rsidRPr="00CF3172" w:rsidRDefault="00D52977" w:rsidP="008F489F">
            <w:pPr>
              <w:snapToGrid w:val="0"/>
              <w:spacing w:line="240" w:lineRule="auto"/>
              <w:ind w:firstLine="0"/>
              <w:jc w:val="left"/>
              <w:rPr>
                <w:color w:val="000000"/>
                <w:sz w:val="24"/>
                <w:szCs w:val="24"/>
                <w:lang w:val="en-US"/>
              </w:rPr>
            </w:pPr>
            <w:r w:rsidRPr="00CF3172">
              <w:rPr>
                <w:color w:val="000000"/>
                <w:sz w:val="24"/>
                <w:szCs w:val="24"/>
                <w:lang w:val="en-US"/>
              </w:rPr>
              <w:t>Payout policy</w:t>
            </w:r>
          </w:p>
        </w:tc>
        <w:tc>
          <w:tcPr>
            <w:tcW w:w="1276" w:type="dxa"/>
            <w:tcBorders>
              <w:top w:val="nil"/>
              <w:left w:val="nil"/>
              <w:bottom w:val="single" w:sz="8" w:space="0" w:color="000000"/>
              <w:right w:val="single" w:sz="8" w:space="0" w:color="000000"/>
            </w:tcBorders>
            <w:shd w:val="clear" w:color="auto" w:fill="auto"/>
            <w:vAlign w:val="center"/>
            <w:hideMark/>
          </w:tcPr>
          <w:p w14:paraId="4B515B24" w14:textId="443C9821"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6</w:t>
            </w:r>
          </w:p>
        </w:tc>
        <w:tc>
          <w:tcPr>
            <w:tcW w:w="1275" w:type="dxa"/>
            <w:tcBorders>
              <w:top w:val="nil"/>
              <w:left w:val="nil"/>
              <w:bottom w:val="single" w:sz="8" w:space="0" w:color="000000"/>
              <w:right w:val="single" w:sz="8" w:space="0" w:color="000000"/>
            </w:tcBorders>
            <w:shd w:val="clear" w:color="auto" w:fill="auto"/>
            <w:vAlign w:val="center"/>
            <w:hideMark/>
          </w:tcPr>
          <w:p w14:paraId="0B226440" w14:textId="3E50F2FD"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416C9B81" w14:textId="31DFCD80"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7E967CCD" w14:textId="0ED5ADE8"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D52977" w:rsidRPr="00CF3172" w14:paraId="289BFFF0" w14:textId="77777777" w:rsidTr="00D52977">
        <w:trPr>
          <w:trHeight w:val="539"/>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6CA2CA9" w14:textId="460712FC"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t>5</w:t>
            </w:r>
          </w:p>
        </w:tc>
        <w:tc>
          <w:tcPr>
            <w:tcW w:w="4253" w:type="dxa"/>
            <w:tcBorders>
              <w:top w:val="nil"/>
              <w:left w:val="nil"/>
              <w:bottom w:val="single" w:sz="8" w:space="0" w:color="000000"/>
              <w:right w:val="single" w:sz="8" w:space="0" w:color="000000"/>
            </w:tcBorders>
            <w:shd w:val="clear" w:color="auto" w:fill="auto"/>
            <w:vAlign w:val="center"/>
            <w:hideMark/>
          </w:tcPr>
          <w:p w14:paraId="45204D80" w14:textId="15F62802" w:rsidR="00D52977" w:rsidRPr="00CF3172" w:rsidRDefault="00D52977" w:rsidP="008F489F">
            <w:pPr>
              <w:snapToGrid w:val="0"/>
              <w:spacing w:line="240" w:lineRule="auto"/>
              <w:ind w:firstLine="0"/>
              <w:jc w:val="left"/>
              <w:rPr>
                <w:color w:val="000000"/>
                <w:sz w:val="24"/>
                <w:szCs w:val="24"/>
                <w:lang w:val="en-US"/>
              </w:rPr>
            </w:pPr>
            <w:r w:rsidRPr="00CF3172">
              <w:rPr>
                <w:color w:val="000000"/>
                <w:sz w:val="24"/>
                <w:szCs w:val="24"/>
                <w:lang w:val="en-US"/>
              </w:rPr>
              <w:t>Risk management policy</w:t>
            </w:r>
          </w:p>
        </w:tc>
        <w:tc>
          <w:tcPr>
            <w:tcW w:w="1276" w:type="dxa"/>
            <w:tcBorders>
              <w:top w:val="nil"/>
              <w:left w:val="nil"/>
              <w:bottom w:val="single" w:sz="8" w:space="0" w:color="000000"/>
              <w:right w:val="single" w:sz="8" w:space="0" w:color="000000"/>
            </w:tcBorders>
            <w:shd w:val="clear" w:color="auto" w:fill="auto"/>
            <w:vAlign w:val="center"/>
            <w:hideMark/>
          </w:tcPr>
          <w:p w14:paraId="0349F5F4" w14:textId="63A50061"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4</w:t>
            </w:r>
          </w:p>
        </w:tc>
        <w:tc>
          <w:tcPr>
            <w:tcW w:w="1275" w:type="dxa"/>
            <w:tcBorders>
              <w:top w:val="nil"/>
              <w:left w:val="nil"/>
              <w:bottom w:val="single" w:sz="8" w:space="0" w:color="000000"/>
              <w:right w:val="single" w:sz="8" w:space="0" w:color="000000"/>
            </w:tcBorders>
            <w:shd w:val="clear" w:color="auto" w:fill="auto"/>
            <w:vAlign w:val="center"/>
            <w:hideMark/>
          </w:tcPr>
          <w:p w14:paraId="476D4BEF" w14:textId="4286965F"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4706F5CE" w14:textId="71DB7A71"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0</w:t>
            </w:r>
          </w:p>
        </w:tc>
        <w:tc>
          <w:tcPr>
            <w:tcW w:w="1276" w:type="dxa"/>
            <w:tcBorders>
              <w:top w:val="nil"/>
              <w:left w:val="nil"/>
              <w:bottom w:val="single" w:sz="8" w:space="0" w:color="000000"/>
              <w:right w:val="single" w:sz="8" w:space="0" w:color="000000"/>
            </w:tcBorders>
            <w:shd w:val="clear" w:color="auto" w:fill="auto"/>
            <w:vAlign w:val="center"/>
            <w:hideMark/>
          </w:tcPr>
          <w:p w14:paraId="7110B27B" w14:textId="367D6703"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D52977" w:rsidRPr="00CF3172" w14:paraId="79B1D5F0" w14:textId="77777777" w:rsidTr="00D52977">
        <w:trPr>
          <w:trHeight w:val="533"/>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3B6595B" w14:textId="20BDDCFC" w:rsidR="00D52977" w:rsidRPr="00CF3172" w:rsidRDefault="00882CC5" w:rsidP="008F489F">
            <w:pPr>
              <w:snapToGrid w:val="0"/>
              <w:spacing w:line="240" w:lineRule="auto"/>
              <w:ind w:firstLine="0"/>
              <w:jc w:val="center"/>
              <w:rPr>
                <w:color w:val="000000"/>
                <w:sz w:val="24"/>
                <w:szCs w:val="24"/>
              </w:rPr>
            </w:pPr>
            <w:r w:rsidRPr="00CF3172">
              <w:rPr>
                <w:color w:val="000000"/>
                <w:sz w:val="24"/>
                <w:szCs w:val="24"/>
              </w:rPr>
              <w:lastRenderedPageBreak/>
              <w:t>6</w:t>
            </w:r>
          </w:p>
        </w:tc>
        <w:tc>
          <w:tcPr>
            <w:tcW w:w="4253" w:type="dxa"/>
            <w:tcBorders>
              <w:top w:val="nil"/>
              <w:left w:val="nil"/>
              <w:bottom w:val="single" w:sz="8" w:space="0" w:color="000000"/>
              <w:right w:val="single" w:sz="8" w:space="0" w:color="000000"/>
            </w:tcBorders>
            <w:shd w:val="clear" w:color="auto" w:fill="auto"/>
            <w:vAlign w:val="center"/>
            <w:hideMark/>
          </w:tcPr>
          <w:p w14:paraId="058EB042" w14:textId="39CCCB63" w:rsidR="00D52977" w:rsidRPr="00CF3172" w:rsidRDefault="00D52977" w:rsidP="008F489F">
            <w:pPr>
              <w:snapToGrid w:val="0"/>
              <w:spacing w:line="240" w:lineRule="auto"/>
              <w:ind w:firstLine="0"/>
              <w:jc w:val="left"/>
              <w:rPr>
                <w:color w:val="000000"/>
                <w:sz w:val="24"/>
                <w:szCs w:val="24"/>
                <w:lang w:val="en-US"/>
              </w:rPr>
            </w:pPr>
            <w:r w:rsidRPr="00CF3172">
              <w:rPr>
                <w:color w:val="000000"/>
                <w:sz w:val="24"/>
                <w:szCs w:val="24"/>
                <w:lang w:val="en-US"/>
              </w:rPr>
              <w:t xml:space="preserve">M&amp;A and </w:t>
            </w:r>
            <w:r w:rsidR="00CF3172" w:rsidRPr="00CF3172">
              <w:rPr>
                <w:color w:val="000000"/>
                <w:sz w:val="24"/>
                <w:szCs w:val="24"/>
                <w:lang w:val="en-US"/>
              </w:rPr>
              <w:t xml:space="preserve">corporate </w:t>
            </w:r>
            <w:r w:rsidRPr="00CF3172">
              <w:rPr>
                <w:color w:val="000000"/>
                <w:sz w:val="24"/>
                <w:szCs w:val="24"/>
                <w:lang w:val="en-US"/>
              </w:rPr>
              <w:t>restructuring</w:t>
            </w:r>
          </w:p>
        </w:tc>
        <w:tc>
          <w:tcPr>
            <w:tcW w:w="1276" w:type="dxa"/>
            <w:tcBorders>
              <w:top w:val="nil"/>
              <w:left w:val="nil"/>
              <w:bottom w:val="single" w:sz="8" w:space="0" w:color="000000"/>
              <w:right w:val="single" w:sz="8" w:space="0" w:color="000000"/>
            </w:tcBorders>
            <w:shd w:val="clear" w:color="auto" w:fill="auto"/>
            <w:vAlign w:val="center"/>
            <w:hideMark/>
          </w:tcPr>
          <w:p w14:paraId="4E0C904B" w14:textId="4C0C73A3"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4</w:t>
            </w:r>
          </w:p>
        </w:tc>
        <w:tc>
          <w:tcPr>
            <w:tcW w:w="1275" w:type="dxa"/>
            <w:tcBorders>
              <w:top w:val="nil"/>
              <w:left w:val="nil"/>
              <w:bottom w:val="single" w:sz="8" w:space="0" w:color="000000"/>
              <w:right w:val="single" w:sz="8" w:space="0" w:color="000000"/>
            </w:tcBorders>
            <w:shd w:val="clear" w:color="auto" w:fill="auto"/>
            <w:vAlign w:val="center"/>
            <w:hideMark/>
          </w:tcPr>
          <w:p w14:paraId="53086F8D" w14:textId="404398C6"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05AC5A0E" w14:textId="0BF5442E"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0</w:t>
            </w:r>
          </w:p>
        </w:tc>
        <w:tc>
          <w:tcPr>
            <w:tcW w:w="1276" w:type="dxa"/>
            <w:tcBorders>
              <w:top w:val="nil"/>
              <w:left w:val="nil"/>
              <w:bottom w:val="single" w:sz="8" w:space="0" w:color="000000"/>
              <w:right w:val="single" w:sz="8" w:space="0" w:color="000000"/>
            </w:tcBorders>
            <w:shd w:val="clear" w:color="auto" w:fill="auto"/>
            <w:vAlign w:val="center"/>
            <w:hideMark/>
          </w:tcPr>
          <w:p w14:paraId="400778CB" w14:textId="03E5ADBE" w:rsidR="00D52977"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882CC5" w:rsidRPr="00CF3172" w14:paraId="2DC4ABC7" w14:textId="77777777" w:rsidTr="00D52977">
        <w:trPr>
          <w:trHeight w:val="555"/>
        </w:trPr>
        <w:tc>
          <w:tcPr>
            <w:tcW w:w="557" w:type="dxa"/>
            <w:tcBorders>
              <w:top w:val="nil"/>
              <w:left w:val="single" w:sz="8" w:space="0" w:color="000000"/>
              <w:bottom w:val="single" w:sz="8" w:space="0" w:color="000000"/>
              <w:right w:val="single" w:sz="8" w:space="0" w:color="000000"/>
            </w:tcBorders>
            <w:shd w:val="clear" w:color="auto" w:fill="auto"/>
            <w:vAlign w:val="center"/>
          </w:tcPr>
          <w:p w14:paraId="223A5057" w14:textId="6CFEABF6" w:rsidR="00882CC5"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7</w:t>
            </w:r>
          </w:p>
        </w:tc>
        <w:tc>
          <w:tcPr>
            <w:tcW w:w="4253" w:type="dxa"/>
            <w:tcBorders>
              <w:top w:val="nil"/>
              <w:left w:val="nil"/>
              <w:bottom w:val="single" w:sz="8" w:space="0" w:color="000000"/>
              <w:right w:val="single" w:sz="8" w:space="0" w:color="000000"/>
            </w:tcBorders>
            <w:shd w:val="clear" w:color="auto" w:fill="auto"/>
            <w:vAlign w:val="center"/>
          </w:tcPr>
          <w:p w14:paraId="3228D33A" w14:textId="735F0F60" w:rsidR="00882CC5" w:rsidRPr="00CF3172" w:rsidRDefault="00882CC5" w:rsidP="008F489F">
            <w:pPr>
              <w:snapToGrid w:val="0"/>
              <w:spacing w:line="240" w:lineRule="auto"/>
              <w:ind w:firstLine="0"/>
              <w:jc w:val="left"/>
              <w:rPr>
                <w:color w:val="000000"/>
                <w:sz w:val="24"/>
                <w:szCs w:val="24"/>
                <w:lang w:val="en-US"/>
              </w:rPr>
            </w:pPr>
            <w:r w:rsidRPr="00CF3172">
              <w:rPr>
                <w:color w:val="000000"/>
                <w:sz w:val="24"/>
                <w:szCs w:val="24"/>
                <w:lang w:val="en-US"/>
              </w:rPr>
              <w:t>Advanced valuation with debt</w:t>
            </w:r>
          </w:p>
        </w:tc>
        <w:tc>
          <w:tcPr>
            <w:tcW w:w="1276" w:type="dxa"/>
            <w:tcBorders>
              <w:top w:val="nil"/>
              <w:left w:val="nil"/>
              <w:bottom w:val="single" w:sz="8" w:space="0" w:color="000000"/>
              <w:right w:val="single" w:sz="8" w:space="0" w:color="000000"/>
            </w:tcBorders>
            <w:shd w:val="clear" w:color="auto" w:fill="auto"/>
            <w:vAlign w:val="center"/>
          </w:tcPr>
          <w:p w14:paraId="633C25B2" w14:textId="14BD0B5C" w:rsidR="00882CC5"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4</w:t>
            </w:r>
          </w:p>
        </w:tc>
        <w:tc>
          <w:tcPr>
            <w:tcW w:w="1275" w:type="dxa"/>
            <w:tcBorders>
              <w:top w:val="nil"/>
              <w:left w:val="nil"/>
              <w:bottom w:val="single" w:sz="8" w:space="0" w:color="000000"/>
              <w:right w:val="single" w:sz="8" w:space="0" w:color="000000"/>
            </w:tcBorders>
            <w:shd w:val="clear" w:color="auto" w:fill="auto"/>
            <w:vAlign w:val="center"/>
          </w:tcPr>
          <w:p w14:paraId="157EFE66" w14:textId="763A33BD" w:rsidR="00882CC5"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0</w:t>
            </w:r>
          </w:p>
        </w:tc>
        <w:tc>
          <w:tcPr>
            <w:tcW w:w="1276" w:type="dxa"/>
            <w:tcBorders>
              <w:top w:val="nil"/>
              <w:left w:val="nil"/>
              <w:bottom w:val="single" w:sz="8" w:space="0" w:color="000000"/>
              <w:right w:val="single" w:sz="8" w:space="0" w:color="000000"/>
            </w:tcBorders>
            <w:shd w:val="clear" w:color="auto" w:fill="auto"/>
            <w:vAlign w:val="center"/>
          </w:tcPr>
          <w:p w14:paraId="43F255A3" w14:textId="20DDC0CD" w:rsidR="00882CC5"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tcPr>
          <w:p w14:paraId="42CC2C1A" w14:textId="1D4708B9" w:rsidR="00882CC5" w:rsidRPr="00CF3172" w:rsidRDefault="00CF3172"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r>
      <w:tr w:rsidR="00D52977" w:rsidRPr="00CF3172" w14:paraId="21A9BEA2" w14:textId="77777777" w:rsidTr="00D52977">
        <w:trPr>
          <w:trHeight w:val="555"/>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3669625B" w14:textId="0BCC1235"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8</w:t>
            </w:r>
          </w:p>
        </w:tc>
        <w:tc>
          <w:tcPr>
            <w:tcW w:w="4253" w:type="dxa"/>
            <w:tcBorders>
              <w:top w:val="nil"/>
              <w:left w:val="nil"/>
              <w:bottom w:val="single" w:sz="8" w:space="0" w:color="000000"/>
              <w:right w:val="single" w:sz="8" w:space="0" w:color="000000"/>
            </w:tcBorders>
            <w:shd w:val="clear" w:color="auto" w:fill="auto"/>
            <w:vAlign w:val="center"/>
            <w:hideMark/>
          </w:tcPr>
          <w:p w14:paraId="03EF14CE" w14:textId="77777777" w:rsidR="00D52977" w:rsidRPr="00CF3172" w:rsidRDefault="00D52977" w:rsidP="008F489F">
            <w:pPr>
              <w:snapToGrid w:val="0"/>
              <w:spacing w:line="240" w:lineRule="auto"/>
              <w:ind w:firstLine="0"/>
              <w:jc w:val="left"/>
              <w:rPr>
                <w:color w:val="000000"/>
                <w:sz w:val="24"/>
                <w:szCs w:val="24"/>
              </w:rPr>
            </w:pPr>
            <w:r w:rsidRPr="00CF3172">
              <w:rPr>
                <w:color w:val="000000"/>
                <w:sz w:val="24"/>
                <w:szCs w:val="24"/>
                <w:lang w:val="en-US"/>
              </w:rPr>
              <w:t>Group project presentations</w:t>
            </w:r>
          </w:p>
        </w:tc>
        <w:tc>
          <w:tcPr>
            <w:tcW w:w="1276" w:type="dxa"/>
            <w:tcBorders>
              <w:top w:val="nil"/>
              <w:left w:val="nil"/>
              <w:bottom w:val="single" w:sz="8" w:space="0" w:color="000000"/>
              <w:right w:val="single" w:sz="8" w:space="0" w:color="000000"/>
            </w:tcBorders>
            <w:shd w:val="clear" w:color="auto" w:fill="auto"/>
            <w:vAlign w:val="center"/>
            <w:hideMark/>
          </w:tcPr>
          <w:p w14:paraId="05FDCADA" w14:textId="54B3CAB6"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10</w:t>
            </w:r>
          </w:p>
        </w:tc>
        <w:tc>
          <w:tcPr>
            <w:tcW w:w="1275" w:type="dxa"/>
            <w:tcBorders>
              <w:top w:val="nil"/>
              <w:left w:val="nil"/>
              <w:bottom w:val="single" w:sz="8" w:space="0" w:color="000000"/>
              <w:right w:val="single" w:sz="8" w:space="0" w:color="000000"/>
            </w:tcBorders>
            <w:shd w:val="clear" w:color="auto" w:fill="auto"/>
            <w:vAlign w:val="center"/>
            <w:hideMark/>
          </w:tcPr>
          <w:p w14:paraId="745BC085" w14:textId="10748987"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0</w:t>
            </w:r>
          </w:p>
        </w:tc>
        <w:tc>
          <w:tcPr>
            <w:tcW w:w="1276" w:type="dxa"/>
            <w:tcBorders>
              <w:top w:val="nil"/>
              <w:left w:val="nil"/>
              <w:bottom w:val="single" w:sz="8" w:space="0" w:color="000000"/>
              <w:right w:val="single" w:sz="8" w:space="0" w:color="000000"/>
            </w:tcBorders>
            <w:shd w:val="clear" w:color="auto" w:fill="auto"/>
            <w:vAlign w:val="center"/>
            <w:hideMark/>
          </w:tcPr>
          <w:p w14:paraId="7EF59869" w14:textId="67412901"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2</w:t>
            </w:r>
          </w:p>
        </w:tc>
        <w:tc>
          <w:tcPr>
            <w:tcW w:w="1276" w:type="dxa"/>
            <w:tcBorders>
              <w:top w:val="nil"/>
              <w:left w:val="nil"/>
              <w:bottom w:val="single" w:sz="8" w:space="0" w:color="000000"/>
              <w:right w:val="single" w:sz="8" w:space="0" w:color="000000"/>
            </w:tcBorders>
            <w:shd w:val="clear" w:color="auto" w:fill="auto"/>
            <w:vAlign w:val="center"/>
            <w:hideMark/>
          </w:tcPr>
          <w:p w14:paraId="2EE4FC24" w14:textId="49CEF862" w:rsidR="00D52977" w:rsidRPr="00CF3172" w:rsidRDefault="00882CC5" w:rsidP="008F489F">
            <w:pPr>
              <w:snapToGrid w:val="0"/>
              <w:spacing w:line="240" w:lineRule="auto"/>
              <w:ind w:firstLine="0"/>
              <w:jc w:val="center"/>
              <w:rPr>
                <w:color w:val="000000"/>
                <w:sz w:val="24"/>
                <w:szCs w:val="24"/>
                <w:lang w:val="en-US"/>
              </w:rPr>
            </w:pPr>
            <w:r w:rsidRPr="00CF3172">
              <w:rPr>
                <w:color w:val="000000"/>
                <w:sz w:val="24"/>
                <w:szCs w:val="24"/>
                <w:lang w:val="en-US"/>
              </w:rPr>
              <w:t>8</w:t>
            </w:r>
          </w:p>
        </w:tc>
      </w:tr>
      <w:tr w:rsidR="00D52977" w:rsidRPr="00CF3172" w14:paraId="4112AFDD" w14:textId="77777777" w:rsidTr="00D52977">
        <w:trPr>
          <w:trHeight w:val="340"/>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030042" w14:textId="77777777" w:rsidR="00D52977" w:rsidRPr="00CF3172" w:rsidRDefault="00D52977" w:rsidP="008F489F">
            <w:pPr>
              <w:snapToGrid w:val="0"/>
              <w:spacing w:line="240" w:lineRule="auto"/>
              <w:ind w:firstLine="0"/>
              <w:jc w:val="left"/>
              <w:rPr>
                <w:b/>
                <w:bCs/>
                <w:color w:val="000000"/>
                <w:sz w:val="24"/>
                <w:szCs w:val="24"/>
              </w:rPr>
            </w:pPr>
            <w:r w:rsidRPr="00CF3172">
              <w:rPr>
                <w:b/>
                <w:bCs/>
                <w:color w:val="000000"/>
                <w:sz w:val="24"/>
                <w:szCs w:val="24"/>
                <w:lang w:val="en-US"/>
              </w:rPr>
              <w:t>Total hours</w:t>
            </w:r>
          </w:p>
        </w:tc>
        <w:tc>
          <w:tcPr>
            <w:tcW w:w="1276" w:type="dxa"/>
            <w:tcBorders>
              <w:top w:val="nil"/>
              <w:left w:val="nil"/>
              <w:bottom w:val="single" w:sz="8" w:space="0" w:color="000000"/>
              <w:right w:val="single" w:sz="8" w:space="0" w:color="000000"/>
            </w:tcBorders>
            <w:shd w:val="clear" w:color="auto" w:fill="auto"/>
            <w:vAlign w:val="center"/>
            <w:hideMark/>
          </w:tcPr>
          <w:p w14:paraId="762D8850" w14:textId="723007CD" w:rsidR="00D52977" w:rsidRPr="00CF3172" w:rsidRDefault="00CF3172" w:rsidP="008F489F">
            <w:pPr>
              <w:snapToGrid w:val="0"/>
              <w:spacing w:line="240" w:lineRule="auto"/>
              <w:ind w:firstLine="0"/>
              <w:jc w:val="center"/>
              <w:rPr>
                <w:b/>
                <w:bCs/>
                <w:color w:val="000000"/>
                <w:sz w:val="24"/>
                <w:szCs w:val="24"/>
                <w:lang w:val="en-US"/>
              </w:rPr>
            </w:pPr>
            <w:r w:rsidRPr="00CF3172">
              <w:rPr>
                <w:b/>
                <w:bCs/>
                <w:color w:val="000000"/>
                <w:sz w:val="24"/>
                <w:szCs w:val="24"/>
                <w:lang w:val="en-US"/>
              </w:rPr>
              <w:t>48</w:t>
            </w:r>
          </w:p>
        </w:tc>
        <w:tc>
          <w:tcPr>
            <w:tcW w:w="1275" w:type="dxa"/>
            <w:tcBorders>
              <w:top w:val="nil"/>
              <w:left w:val="nil"/>
              <w:bottom w:val="single" w:sz="8" w:space="0" w:color="000000"/>
              <w:right w:val="single" w:sz="8" w:space="0" w:color="000000"/>
            </w:tcBorders>
            <w:shd w:val="clear" w:color="auto" w:fill="auto"/>
            <w:vAlign w:val="center"/>
            <w:hideMark/>
          </w:tcPr>
          <w:p w14:paraId="4BD368F0" w14:textId="497620D8" w:rsidR="00D52977" w:rsidRPr="00CF3172" w:rsidRDefault="00CF3172" w:rsidP="008F489F">
            <w:pPr>
              <w:snapToGrid w:val="0"/>
              <w:spacing w:line="240" w:lineRule="auto"/>
              <w:ind w:firstLine="0"/>
              <w:jc w:val="center"/>
              <w:rPr>
                <w:b/>
                <w:bCs/>
                <w:color w:val="000000"/>
                <w:sz w:val="24"/>
                <w:szCs w:val="24"/>
                <w:lang w:val="en-US"/>
              </w:rPr>
            </w:pPr>
            <w:r w:rsidRPr="00CF3172">
              <w:rPr>
                <w:b/>
                <w:bCs/>
                <w:color w:val="000000"/>
                <w:sz w:val="24"/>
                <w:szCs w:val="24"/>
                <w:lang w:val="en-US"/>
              </w:rPr>
              <w:t>12</w:t>
            </w:r>
          </w:p>
        </w:tc>
        <w:tc>
          <w:tcPr>
            <w:tcW w:w="1276" w:type="dxa"/>
            <w:tcBorders>
              <w:top w:val="nil"/>
              <w:left w:val="nil"/>
              <w:bottom w:val="single" w:sz="8" w:space="0" w:color="000000"/>
              <w:right w:val="single" w:sz="8" w:space="0" w:color="000000"/>
            </w:tcBorders>
            <w:shd w:val="clear" w:color="auto" w:fill="auto"/>
            <w:vAlign w:val="center"/>
            <w:hideMark/>
          </w:tcPr>
          <w:p w14:paraId="086D8D0B" w14:textId="740FC20D" w:rsidR="00D52977" w:rsidRPr="00CF3172" w:rsidRDefault="00CF3172" w:rsidP="008F489F">
            <w:pPr>
              <w:snapToGrid w:val="0"/>
              <w:spacing w:line="240" w:lineRule="auto"/>
              <w:ind w:firstLine="0"/>
              <w:jc w:val="center"/>
              <w:rPr>
                <w:b/>
                <w:bCs/>
                <w:color w:val="000000"/>
                <w:sz w:val="24"/>
                <w:szCs w:val="24"/>
                <w:lang w:val="en-US"/>
              </w:rPr>
            </w:pPr>
            <w:r w:rsidRPr="00CF3172">
              <w:rPr>
                <w:b/>
                <w:bCs/>
                <w:color w:val="000000"/>
                <w:sz w:val="24"/>
                <w:szCs w:val="24"/>
                <w:lang w:val="en-US"/>
              </w:rPr>
              <w:t>12</w:t>
            </w:r>
          </w:p>
        </w:tc>
        <w:tc>
          <w:tcPr>
            <w:tcW w:w="1276" w:type="dxa"/>
            <w:tcBorders>
              <w:top w:val="nil"/>
              <w:left w:val="nil"/>
              <w:bottom w:val="single" w:sz="8" w:space="0" w:color="000000"/>
              <w:right w:val="single" w:sz="8" w:space="0" w:color="000000"/>
            </w:tcBorders>
            <w:shd w:val="clear" w:color="auto" w:fill="auto"/>
            <w:vAlign w:val="center"/>
            <w:hideMark/>
          </w:tcPr>
          <w:p w14:paraId="6DC887E8" w14:textId="249A1A82" w:rsidR="00D52977" w:rsidRPr="00CF3172" w:rsidRDefault="00CF3172" w:rsidP="008F489F">
            <w:pPr>
              <w:snapToGrid w:val="0"/>
              <w:spacing w:line="240" w:lineRule="auto"/>
              <w:ind w:firstLine="0"/>
              <w:jc w:val="center"/>
              <w:rPr>
                <w:b/>
                <w:bCs/>
                <w:color w:val="000000"/>
                <w:sz w:val="24"/>
                <w:szCs w:val="24"/>
                <w:lang w:val="en-US"/>
              </w:rPr>
            </w:pPr>
            <w:r w:rsidRPr="00CF3172">
              <w:rPr>
                <w:b/>
                <w:bCs/>
                <w:color w:val="000000"/>
                <w:sz w:val="24"/>
                <w:szCs w:val="24"/>
                <w:lang w:val="en-US"/>
              </w:rPr>
              <w:t>24</w:t>
            </w:r>
          </w:p>
        </w:tc>
      </w:tr>
    </w:tbl>
    <w:p w14:paraId="04F19060" w14:textId="77777777" w:rsidR="00983D18" w:rsidRPr="00CF3172" w:rsidRDefault="00983D18" w:rsidP="00D219AC">
      <w:pPr>
        <w:pStyle w:val="affffd"/>
        <w:shd w:val="clear" w:color="auto" w:fill="FFFFFF"/>
        <w:spacing w:before="0" w:beforeAutospacing="0" w:after="0" w:afterAutospacing="0"/>
        <w:jc w:val="both"/>
        <w:rPr>
          <w:color w:val="000000"/>
          <w:lang w:val="en-US"/>
        </w:rPr>
      </w:pPr>
    </w:p>
    <w:p w14:paraId="3EDD1966" w14:textId="7B453CC1" w:rsidR="00007370"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1</w:t>
      </w:r>
      <w:r w:rsidR="00007370" w:rsidRPr="00CF3172">
        <w:rPr>
          <w:i/>
          <w:iCs/>
          <w:color w:val="000000"/>
          <w:u w:val="single"/>
          <w:lang w:val="en-US"/>
        </w:rPr>
        <w:t>. Investment decisions</w:t>
      </w:r>
      <w:r w:rsidRPr="00CF3172">
        <w:rPr>
          <w:i/>
          <w:iCs/>
          <w:color w:val="000000"/>
          <w:u w:val="single"/>
          <w:lang w:val="en-US"/>
        </w:rPr>
        <w:t>: capital budgeting</w:t>
      </w:r>
    </w:p>
    <w:p w14:paraId="43242C95" w14:textId="77777777" w:rsidR="00007370" w:rsidRPr="00CF3172" w:rsidRDefault="00007370" w:rsidP="00D219AC">
      <w:pPr>
        <w:pStyle w:val="affffd"/>
        <w:shd w:val="clear" w:color="auto" w:fill="FFFFFF"/>
        <w:spacing w:before="0" w:beforeAutospacing="0" w:after="0" w:afterAutospacing="0"/>
        <w:jc w:val="both"/>
        <w:rPr>
          <w:color w:val="000000"/>
          <w:lang w:val="en-US"/>
        </w:rPr>
      </w:pPr>
      <w:r w:rsidRPr="00CF3172">
        <w:rPr>
          <w:color w:val="000000"/>
          <w:lang w:val="en-US"/>
        </w:rPr>
        <w:t>Investment opportunities of a corporation. Cash flows of an investment project. Project risk, cost of capital and discounted cash flows. Applying net present value (NPV) methodology in capital budgeting. Mutually exclusive projects. Profitability index (PI) as a relative measure of present value. Internal rate of return (IRR): methodology and limitations. Time constraints: discounted payback method. Value creation with efficient investment projects.</w:t>
      </w:r>
    </w:p>
    <w:p w14:paraId="5DCF2865" w14:textId="77777777" w:rsidR="00007370" w:rsidRPr="008F489F" w:rsidRDefault="00007370" w:rsidP="00D219AC">
      <w:pPr>
        <w:pStyle w:val="affffd"/>
        <w:shd w:val="clear" w:color="auto" w:fill="FFFFFF"/>
        <w:spacing w:before="0" w:beforeAutospacing="0" w:after="0" w:afterAutospacing="0"/>
        <w:jc w:val="both"/>
        <w:rPr>
          <w:color w:val="000000"/>
          <w:sz w:val="18"/>
          <w:szCs w:val="18"/>
          <w:lang w:val="en-US"/>
        </w:rPr>
      </w:pPr>
    </w:p>
    <w:p w14:paraId="6F4D837B" w14:textId="7A95B53A" w:rsidR="00007370"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2</w:t>
      </w:r>
      <w:r w:rsidR="00007370" w:rsidRPr="00CF3172">
        <w:rPr>
          <w:i/>
          <w:iCs/>
          <w:color w:val="000000"/>
          <w:u w:val="single"/>
          <w:lang w:val="en-US"/>
        </w:rPr>
        <w:t>. Capital structure choice</w:t>
      </w:r>
      <w:r w:rsidRPr="00CF3172">
        <w:rPr>
          <w:i/>
          <w:iCs/>
          <w:color w:val="000000"/>
          <w:u w:val="single"/>
          <w:lang w:val="en-US"/>
        </w:rPr>
        <w:t>,</w:t>
      </w:r>
      <w:r w:rsidR="00007370" w:rsidRPr="00CF3172">
        <w:rPr>
          <w:i/>
          <w:iCs/>
          <w:color w:val="000000"/>
          <w:u w:val="single"/>
          <w:lang w:val="en-US"/>
        </w:rPr>
        <w:t xml:space="preserve"> corporate value</w:t>
      </w:r>
      <w:r w:rsidRPr="00CF3172">
        <w:rPr>
          <w:i/>
          <w:iCs/>
          <w:color w:val="000000"/>
          <w:u w:val="single"/>
          <w:lang w:val="en-US"/>
        </w:rPr>
        <w:t xml:space="preserve"> and the cost of capital</w:t>
      </w:r>
    </w:p>
    <w:p w14:paraId="03BC1824" w14:textId="54EAE669" w:rsidR="00CF3172" w:rsidRPr="00CF3172" w:rsidRDefault="00007370" w:rsidP="00D219AC">
      <w:pPr>
        <w:pStyle w:val="affffd"/>
        <w:shd w:val="clear" w:color="auto" w:fill="FFFFFF"/>
        <w:spacing w:before="0" w:beforeAutospacing="0" w:after="0" w:afterAutospacing="0"/>
        <w:jc w:val="both"/>
        <w:rPr>
          <w:color w:val="000000"/>
          <w:lang w:val="en-US"/>
        </w:rPr>
      </w:pPr>
      <w:r w:rsidRPr="00CF3172">
        <w:rPr>
          <w:color w:val="000000"/>
          <w:lang w:val="en-US"/>
        </w:rPr>
        <w:t>Modigliani and Miller theorem (MM) on capital structure, perfect capital market assumptions and basic MM irrelevance propositions. Weighted average cost of capital (WACC): a portfolio approach to determine the overall opportunity cost of capital. Competing definitions of WACC. Cost of debt, cost of equity and WACC under pure MM. Shareholder reaction to changes in capital structure. MM propositions with corporate income taxes. Income tax shield as motivation to take debt. Motivation of WACC behavior. The effect of personal taxes on capital structure. Miller equilibrium model.</w:t>
      </w:r>
      <w:r w:rsidR="00CF3172" w:rsidRPr="00CF3172">
        <w:rPr>
          <w:color w:val="000000"/>
          <w:lang w:val="en-US"/>
        </w:rPr>
        <w:t xml:space="preserve"> </w:t>
      </w:r>
      <w:r w:rsidR="00CF3172" w:rsidRPr="00CF3172">
        <w:rPr>
          <w:color w:val="000000"/>
          <w:lang w:val="en-US"/>
        </w:rPr>
        <w:t xml:space="preserve">Tradeoff theory as a model of optimal capital structure: tax shield vs financial distress costs. Firm value vs WACC under tradeoff theory. </w:t>
      </w:r>
    </w:p>
    <w:p w14:paraId="0BB9E8E4" w14:textId="688722D5" w:rsidR="00007370" w:rsidRPr="008F489F" w:rsidRDefault="00007370" w:rsidP="00D219AC">
      <w:pPr>
        <w:pStyle w:val="affffd"/>
        <w:shd w:val="clear" w:color="auto" w:fill="FFFFFF"/>
        <w:spacing w:before="0" w:beforeAutospacing="0" w:after="0" w:afterAutospacing="0"/>
        <w:jc w:val="both"/>
        <w:rPr>
          <w:color w:val="000000"/>
          <w:sz w:val="18"/>
          <w:szCs w:val="18"/>
          <w:lang w:val="en-US"/>
        </w:rPr>
      </w:pPr>
    </w:p>
    <w:p w14:paraId="57511068" w14:textId="21AFA2D7" w:rsidR="00CF3172"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3</w:t>
      </w:r>
      <w:r w:rsidRPr="00CF3172">
        <w:rPr>
          <w:i/>
          <w:iCs/>
          <w:color w:val="000000"/>
          <w:u w:val="single"/>
          <w:lang w:val="en-US"/>
        </w:rPr>
        <w:t xml:space="preserve">. </w:t>
      </w:r>
      <w:r w:rsidRPr="00CF3172">
        <w:rPr>
          <w:i/>
          <w:iCs/>
          <w:color w:val="000000"/>
          <w:u w:val="single"/>
          <w:lang w:val="en-US"/>
        </w:rPr>
        <w:t>Agency cost and asymmetric information</w:t>
      </w:r>
    </w:p>
    <w:p w14:paraId="7C519DF6" w14:textId="70AB346D" w:rsidR="00007370" w:rsidRPr="00CF3172" w:rsidRDefault="00007370" w:rsidP="00D219AC">
      <w:pPr>
        <w:pStyle w:val="affffd"/>
        <w:shd w:val="clear" w:color="auto" w:fill="FFFFFF"/>
        <w:spacing w:before="0" w:beforeAutospacing="0" w:after="0" w:afterAutospacing="0"/>
        <w:jc w:val="both"/>
        <w:rPr>
          <w:color w:val="000000"/>
          <w:lang w:val="en-US"/>
        </w:rPr>
      </w:pPr>
      <w:r w:rsidRPr="00CF3172">
        <w:rPr>
          <w:color w:val="000000"/>
          <w:lang w:val="en-US"/>
        </w:rPr>
        <w:t xml:space="preserve">A debtholder – </w:t>
      </w:r>
      <w:r w:rsidR="00CF3172" w:rsidRPr="00CF3172">
        <w:rPr>
          <w:color w:val="000000"/>
          <w:lang w:val="en-US"/>
        </w:rPr>
        <w:t>share</w:t>
      </w:r>
      <w:r w:rsidRPr="00CF3172">
        <w:rPr>
          <w:color w:val="000000"/>
          <w:lang w:val="en-US"/>
        </w:rPr>
        <w:t xml:space="preserve">holder conflict: </w:t>
      </w:r>
      <w:r w:rsidR="00CF3172" w:rsidRPr="00CF3172">
        <w:rPr>
          <w:color w:val="000000"/>
          <w:lang w:val="en-US"/>
        </w:rPr>
        <w:t xml:space="preserve">asset substitution problem, </w:t>
      </w:r>
      <w:r w:rsidRPr="00CF3172">
        <w:rPr>
          <w:color w:val="000000"/>
          <w:lang w:val="en-US"/>
        </w:rPr>
        <w:t>debt overhang problem, debt covenants and monitoring opportunities as means to agency costs.</w:t>
      </w:r>
      <w:r w:rsidR="00CF3172" w:rsidRPr="00CF3172">
        <w:rPr>
          <w:color w:val="000000"/>
          <w:lang w:val="en-US"/>
        </w:rPr>
        <w:t xml:space="preserve"> </w:t>
      </w:r>
      <w:r w:rsidRPr="00CF3172">
        <w:rPr>
          <w:color w:val="000000"/>
          <w:lang w:val="en-US"/>
        </w:rPr>
        <w:t xml:space="preserve">A </w:t>
      </w:r>
      <w:r w:rsidR="00CF3172" w:rsidRPr="00CF3172">
        <w:rPr>
          <w:color w:val="000000"/>
          <w:lang w:val="en-US"/>
        </w:rPr>
        <w:t>share</w:t>
      </w:r>
      <w:r w:rsidRPr="00CF3172">
        <w:rPr>
          <w:color w:val="000000"/>
          <w:lang w:val="en-US"/>
        </w:rPr>
        <w:t>holder – manager conflict: overinvestment problem, deficient management efforts, aligning the conflicting interests with capital structure. Minimizing the total cost of two agency conflicts with capital structure choice.</w:t>
      </w:r>
      <w:r w:rsidR="00CF3172" w:rsidRPr="00CF3172">
        <w:rPr>
          <w:color w:val="000000"/>
          <w:lang w:val="en-US"/>
        </w:rPr>
        <w:t xml:space="preserve"> </w:t>
      </w:r>
      <w:r w:rsidR="00CF3172" w:rsidRPr="00CF3172">
        <w:rPr>
          <w:color w:val="000000"/>
          <w:lang w:val="en-US"/>
        </w:rPr>
        <w:t>The pecking order of financing theory. The information conveyed by capital structure decisions.</w:t>
      </w:r>
    </w:p>
    <w:p w14:paraId="66D6F397" w14:textId="77777777" w:rsidR="00CF3172" w:rsidRPr="008F489F" w:rsidRDefault="00CF3172" w:rsidP="00D219AC">
      <w:pPr>
        <w:pStyle w:val="affffd"/>
        <w:shd w:val="clear" w:color="auto" w:fill="FFFFFF"/>
        <w:spacing w:before="0" w:beforeAutospacing="0" w:after="0" w:afterAutospacing="0"/>
        <w:jc w:val="both"/>
        <w:rPr>
          <w:color w:val="000000"/>
          <w:sz w:val="18"/>
          <w:szCs w:val="18"/>
          <w:lang w:val="en-US"/>
        </w:rPr>
      </w:pPr>
    </w:p>
    <w:p w14:paraId="7319E985" w14:textId="0298ED4C" w:rsidR="00CF3172"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4</w:t>
      </w:r>
      <w:r w:rsidRPr="00CF3172">
        <w:rPr>
          <w:i/>
          <w:iCs/>
          <w:color w:val="000000"/>
          <w:u w:val="single"/>
          <w:lang w:val="en-US"/>
        </w:rPr>
        <w:t>. Payout policy</w:t>
      </w:r>
    </w:p>
    <w:p w14:paraId="44207672" w14:textId="77777777" w:rsidR="00CF3172" w:rsidRPr="00CF3172" w:rsidRDefault="00CF3172" w:rsidP="00D219AC">
      <w:pPr>
        <w:pStyle w:val="affffd"/>
        <w:shd w:val="clear" w:color="auto" w:fill="FFFFFF"/>
        <w:spacing w:before="0" w:beforeAutospacing="0" w:after="0" w:afterAutospacing="0"/>
        <w:jc w:val="both"/>
        <w:rPr>
          <w:color w:val="000000"/>
          <w:lang w:val="en-US"/>
        </w:rPr>
      </w:pPr>
      <w:r w:rsidRPr="00CF3172">
        <w:rPr>
          <w:color w:val="000000"/>
          <w:lang w:val="en-US"/>
        </w:rPr>
        <w:t xml:space="preserve">Types of dividends: cash dividend, stock dividend, share repurchase. Payout policy as a financing problem. The Modigliani-Miller payout irrelevance theorem. Neither dividend size nor means of delivery matters under MM. The effect of investor taxes: a preference for capital gains compared to cash distributions. The dividend </w:t>
      </w:r>
      <w:proofErr w:type="gramStart"/>
      <w:r w:rsidRPr="00CF3172">
        <w:rPr>
          <w:color w:val="000000"/>
          <w:lang w:val="en-US"/>
        </w:rPr>
        <w:t>puzzle</w:t>
      </w:r>
      <w:proofErr w:type="gramEnd"/>
      <w:r w:rsidRPr="00CF3172">
        <w:rPr>
          <w:color w:val="000000"/>
          <w:lang w:val="en-US"/>
        </w:rPr>
        <w:t>. Static clientele theory. Lintner’s stylized empirical facts. Signaling role of dividends. Payout decisions as means to align the interests of managers and shareholders.</w:t>
      </w:r>
    </w:p>
    <w:p w14:paraId="0356ADFC" w14:textId="77777777" w:rsidR="00CF3172" w:rsidRPr="008F489F" w:rsidRDefault="00CF3172" w:rsidP="00D219AC">
      <w:pPr>
        <w:pStyle w:val="affffd"/>
        <w:shd w:val="clear" w:color="auto" w:fill="FFFFFF"/>
        <w:spacing w:before="0" w:beforeAutospacing="0" w:after="0" w:afterAutospacing="0"/>
        <w:jc w:val="both"/>
        <w:rPr>
          <w:color w:val="000000"/>
          <w:sz w:val="18"/>
          <w:szCs w:val="18"/>
          <w:lang w:val="en-US"/>
        </w:rPr>
      </w:pPr>
    </w:p>
    <w:p w14:paraId="1472F74E" w14:textId="05173FEE" w:rsidR="00CF3172"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5</w:t>
      </w:r>
      <w:r w:rsidRPr="00CF3172">
        <w:rPr>
          <w:i/>
          <w:iCs/>
          <w:color w:val="000000"/>
          <w:u w:val="single"/>
          <w:lang w:val="en-US"/>
        </w:rPr>
        <w:t>. Risk management policy</w:t>
      </w:r>
    </w:p>
    <w:p w14:paraId="19863298" w14:textId="4C4FC118" w:rsidR="00CF3172" w:rsidRPr="00CF3172" w:rsidRDefault="00CF3172" w:rsidP="00D219AC">
      <w:pPr>
        <w:pStyle w:val="affffd"/>
        <w:shd w:val="clear" w:color="auto" w:fill="FFFFFF"/>
        <w:spacing w:before="0" w:beforeAutospacing="0" w:after="0" w:afterAutospacing="0"/>
        <w:jc w:val="both"/>
        <w:rPr>
          <w:color w:val="000000"/>
          <w:lang w:val="en-US"/>
        </w:rPr>
      </w:pPr>
      <w:r w:rsidRPr="00CF3172">
        <w:rPr>
          <w:color w:val="000000"/>
          <w:lang w:val="en-US"/>
        </w:rPr>
        <w:t xml:space="preserve">Risk and the M&amp;M theorem. The motivation to hedge: </w:t>
      </w:r>
      <w:proofErr w:type="gramStart"/>
      <w:r w:rsidRPr="00CF3172">
        <w:rPr>
          <w:color w:val="000000"/>
          <w:lang w:val="en-US"/>
        </w:rPr>
        <w:t>decrease</w:t>
      </w:r>
      <w:proofErr w:type="gramEnd"/>
      <w:r w:rsidRPr="00CF3172">
        <w:rPr>
          <w:color w:val="000000"/>
          <w:lang w:val="en-US"/>
        </w:rPr>
        <w:t xml:space="preserve"> tax payments, decrease costs of financial distress, improve planning for capital needs. The methods of interest rate risk management. Foreign exchange risk management. Application of risk management to industrial firms.</w:t>
      </w:r>
    </w:p>
    <w:p w14:paraId="2AAF8153" w14:textId="77777777" w:rsidR="00CF3172" w:rsidRPr="008F489F" w:rsidRDefault="00CF3172" w:rsidP="00D219AC">
      <w:pPr>
        <w:pStyle w:val="affffd"/>
        <w:shd w:val="clear" w:color="auto" w:fill="FFFFFF"/>
        <w:spacing w:before="0" w:beforeAutospacing="0" w:after="0" w:afterAutospacing="0"/>
        <w:jc w:val="both"/>
        <w:rPr>
          <w:color w:val="000000"/>
          <w:sz w:val="18"/>
          <w:szCs w:val="18"/>
          <w:lang w:val="en-US"/>
        </w:rPr>
      </w:pPr>
    </w:p>
    <w:p w14:paraId="5442FA92" w14:textId="77777777" w:rsidR="00CF3172"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6. M&amp;A and corporate restructuring</w:t>
      </w:r>
    </w:p>
    <w:p w14:paraId="2893872F" w14:textId="64A7D6D7" w:rsidR="00CF3172" w:rsidRPr="00CF3172" w:rsidRDefault="00CF3172" w:rsidP="00D219AC">
      <w:pPr>
        <w:pStyle w:val="affffd"/>
        <w:shd w:val="clear" w:color="auto" w:fill="FFFFFF"/>
        <w:spacing w:before="0" w:beforeAutospacing="0" w:after="0" w:afterAutospacing="0"/>
        <w:jc w:val="both"/>
        <w:rPr>
          <w:color w:val="000000"/>
          <w:lang w:val="en-US"/>
        </w:rPr>
      </w:pPr>
      <w:r w:rsidRPr="00CF3172">
        <w:rPr>
          <w:color w:val="000000"/>
          <w:lang w:val="en-US"/>
        </w:rPr>
        <w:t>Types of M&amp;A. Reasons to acquire: economies of scale, vertical integration, financing side motivation. Hubris hypothesis by Roll. Empirical evidence of inefficient M&amp;As. Value creation via restructuring. Divestitures and bankruptcy as types of corporate restructuring. The sources for synergy in restructuring.</w:t>
      </w:r>
    </w:p>
    <w:p w14:paraId="15E9F496" w14:textId="77777777" w:rsidR="00CF3172" w:rsidRPr="008F489F" w:rsidRDefault="00CF3172" w:rsidP="00D219AC">
      <w:pPr>
        <w:pStyle w:val="affffd"/>
        <w:shd w:val="clear" w:color="auto" w:fill="FFFFFF"/>
        <w:spacing w:before="0" w:beforeAutospacing="0" w:after="0" w:afterAutospacing="0"/>
        <w:jc w:val="both"/>
        <w:rPr>
          <w:color w:val="000000"/>
          <w:sz w:val="18"/>
          <w:szCs w:val="18"/>
          <w:lang w:val="en-US"/>
        </w:rPr>
      </w:pPr>
    </w:p>
    <w:p w14:paraId="6225D988" w14:textId="2C1DE455" w:rsidR="00007370" w:rsidRPr="00CF3172" w:rsidRDefault="00CF3172" w:rsidP="00D219AC">
      <w:pPr>
        <w:pStyle w:val="affffd"/>
        <w:shd w:val="clear" w:color="auto" w:fill="FFFFFF"/>
        <w:spacing w:before="0" w:beforeAutospacing="0" w:after="0" w:afterAutospacing="0"/>
        <w:jc w:val="both"/>
        <w:rPr>
          <w:i/>
          <w:iCs/>
          <w:color w:val="000000"/>
          <w:u w:val="single"/>
          <w:lang w:val="en-US"/>
        </w:rPr>
      </w:pPr>
      <w:r w:rsidRPr="00CF3172">
        <w:rPr>
          <w:i/>
          <w:iCs/>
          <w:color w:val="000000"/>
          <w:u w:val="single"/>
          <w:lang w:val="en-US"/>
        </w:rPr>
        <w:t>7</w:t>
      </w:r>
      <w:r w:rsidR="00007370" w:rsidRPr="00CF3172">
        <w:rPr>
          <w:i/>
          <w:iCs/>
          <w:color w:val="000000"/>
          <w:u w:val="single"/>
          <w:lang w:val="en-US"/>
        </w:rPr>
        <w:t xml:space="preserve">. </w:t>
      </w:r>
      <w:r w:rsidRPr="00CF3172">
        <w:rPr>
          <w:i/>
          <w:iCs/>
          <w:color w:val="000000"/>
          <w:u w:val="single"/>
          <w:lang w:val="en-US"/>
        </w:rPr>
        <w:t>Advanced valuation with debt</w:t>
      </w:r>
    </w:p>
    <w:p w14:paraId="1CF0F091" w14:textId="4B58E958" w:rsidR="00A5154C" w:rsidRPr="00CF3172" w:rsidRDefault="00007370" w:rsidP="00D219AC">
      <w:pPr>
        <w:pStyle w:val="affffd"/>
        <w:shd w:val="clear" w:color="auto" w:fill="FFFFFF"/>
        <w:spacing w:before="0" w:beforeAutospacing="0" w:after="0" w:afterAutospacing="0"/>
        <w:jc w:val="both"/>
        <w:rPr>
          <w:color w:val="000000"/>
          <w:lang w:val="en-US"/>
        </w:rPr>
      </w:pPr>
      <w:r w:rsidRPr="00CF3172">
        <w:rPr>
          <w:color w:val="000000"/>
          <w:lang w:val="en-US"/>
        </w:rPr>
        <w:t>Adjustments to capital budgeting techniques when evaluating a project under certain financing plan. Adjusted present value (APV), weighted average cost of capital (WACC) approach and free cash flow to equity (FCFE): three classical approaches to account for side effects.</w:t>
      </w:r>
    </w:p>
    <w:p w14:paraId="11368A18" w14:textId="47E2B555" w:rsidR="00D219AC" w:rsidRDefault="001E1AAF" w:rsidP="00D219AC">
      <w:pPr>
        <w:pStyle w:val="affffd"/>
        <w:numPr>
          <w:ilvl w:val="0"/>
          <w:numId w:val="17"/>
        </w:numPr>
        <w:shd w:val="clear" w:color="auto" w:fill="FFFFFF"/>
        <w:spacing w:before="0" w:beforeAutospacing="0" w:after="0" w:afterAutospacing="0"/>
        <w:ind w:left="0" w:firstLine="0"/>
        <w:jc w:val="center"/>
        <w:textAlignment w:val="baseline"/>
        <w:rPr>
          <w:b/>
          <w:bCs/>
          <w:color w:val="000000"/>
        </w:rPr>
      </w:pPr>
      <w:r>
        <w:rPr>
          <w:b/>
          <w:bCs/>
          <w:color w:val="000000"/>
          <w:lang w:val="en-US"/>
        </w:rPr>
        <w:lastRenderedPageBreak/>
        <w:t>Evaluation</w:t>
      </w:r>
      <w:r w:rsidR="00AD1C18" w:rsidRPr="00CF3172">
        <w:rPr>
          <w:b/>
          <w:bCs/>
          <w:color w:val="000000"/>
          <w:lang w:val="en-US"/>
        </w:rPr>
        <w:t xml:space="preserve"> criteria</w:t>
      </w:r>
    </w:p>
    <w:p w14:paraId="5F5364AE" w14:textId="77777777" w:rsidR="00D219AC" w:rsidRPr="00D219AC" w:rsidRDefault="00D219AC" w:rsidP="00D219AC">
      <w:pPr>
        <w:pStyle w:val="affffd"/>
        <w:shd w:val="clear" w:color="auto" w:fill="FFFFFF"/>
        <w:spacing w:before="0" w:beforeAutospacing="0" w:after="0" w:afterAutospacing="0"/>
        <w:textAlignment w:val="baseline"/>
        <w:rPr>
          <w:color w:val="000000"/>
        </w:rPr>
      </w:pPr>
    </w:p>
    <w:tbl>
      <w:tblPr>
        <w:tblW w:w="7787" w:type="dxa"/>
        <w:tblLook w:val="04A0" w:firstRow="1" w:lastRow="0" w:firstColumn="1" w:lastColumn="0" w:noHBand="0" w:noVBand="1"/>
      </w:tblPr>
      <w:tblGrid>
        <w:gridCol w:w="557"/>
        <w:gridCol w:w="2552"/>
        <w:gridCol w:w="2977"/>
        <w:gridCol w:w="1701"/>
      </w:tblGrid>
      <w:tr w:rsidR="008F489F" w:rsidRPr="00CF3172" w14:paraId="3B08837C" w14:textId="77777777" w:rsidTr="008F489F">
        <w:trPr>
          <w:trHeight w:val="570"/>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D597A7" w14:textId="77777777" w:rsidR="008F489F" w:rsidRPr="00CF3172" w:rsidRDefault="008F489F" w:rsidP="00D219AC">
            <w:pPr>
              <w:spacing w:line="240" w:lineRule="auto"/>
              <w:ind w:firstLine="0"/>
              <w:jc w:val="center"/>
              <w:rPr>
                <w:b/>
                <w:bCs/>
                <w:color w:val="000000"/>
                <w:sz w:val="24"/>
                <w:szCs w:val="24"/>
              </w:rPr>
            </w:pPr>
            <w:r w:rsidRPr="00CF3172">
              <w:rPr>
                <w:b/>
                <w:bCs/>
                <w:color w:val="000000"/>
                <w:sz w:val="24"/>
                <w:szCs w:val="24"/>
                <w:lang w:val="en-US"/>
              </w:rPr>
              <w:t>#</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27D6EF" w14:textId="6BA4B57B" w:rsidR="008F489F" w:rsidRPr="00CF3172" w:rsidRDefault="008F489F" w:rsidP="00D219AC">
            <w:pPr>
              <w:spacing w:line="240" w:lineRule="auto"/>
              <w:ind w:firstLine="0"/>
              <w:jc w:val="left"/>
              <w:rPr>
                <w:b/>
                <w:bCs/>
                <w:color w:val="000000"/>
                <w:sz w:val="24"/>
                <w:szCs w:val="24"/>
              </w:rPr>
            </w:pPr>
            <w:r>
              <w:rPr>
                <w:b/>
                <w:bCs/>
                <w:color w:val="000000"/>
                <w:sz w:val="24"/>
                <w:szCs w:val="24"/>
                <w:lang w:val="en-US"/>
              </w:rPr>
              <w:t>Activity</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6D4CA4" w14:textId="19C1521D" w:rsidR="008F489F" w:rsidRPr="00CF3172" w:rsidRDefault="008F489F" w:rsidP="00D219AC">
            <w:pPr>
              <w:spacing w:line="240" w:lineRule="auto"/>
              <w:ind w:firstLine="0"/>
              <w:jc w:val="center"/>
              <w:rPr>
                <w:b/>
                <w:bCs/>
                <w:color w:val="000000"/>
                <w:sz w:val="24"/>
                <w:szCs w:val="24"/>
              </w:rPr>
            </w:pPr>
            <w:r>
              <w:rPr>
                <w:b/>
                <w:bCs/>
                <w:color w:val="000000"/>
                <w:sz w:val="24"/>
                <w:szCs w:val="24"/>
                <w:lang w:val="en-US"/>
              </w:rPr>
              <w:t>Marking</w:t>
            </w:r>
            <w:r w:rsidRPr="00CF3172">
              <w:rPr>
                <w:b/>
                <w:bCs/>
                <w:color w:val="000000"/>
                <w:sz w:val="24"/>
                <w:szCs w:val="24"/>
                <w:lang w:val="en-US"/>
              </w:rPr>
              <w:t xml:space="preserve">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2203CD" w14:textId="20CD463C" w:rsidR="008F489F" w:rsidRPr="00CF3172" w:rsidRDefault="008F489F" w:rsidP="00D219AC">
            <w:pPr>
              <w:spacing w:line="240" w:lineRule="auto"/>
              <w:ind w:firstLine="0"/>
              <w:jc w:val="center"/>
              <w:rPr>
                <w:b/>
                <w:bCs/>
                <w:color w:val="000000"/>
                <w:sz w:val="24"/>
                <w:szCs w:val="24"/>
              </w:rPr>
            </w:pPr>
            <w:r>
              <w:rPr>
                <w:b/>
                <w:bCs/>
                <w:color w:val="000000"/>
                <w:sz w:val="24"/>
                <w:szCs w:val="24"/>
                <w:lang w:val="en-US"/>
              </w:rPr>
              <w:t>Weight</w:t>
            </w:r>
          </w:p>
        </w:tc>
      </w:tr>
      <w:tr w:rsidR="008F489F" w:rsidRPr="00CF3172" w14:paraId="68F531BE" w14:textId="77777777" w:rsidTr="008F489F">
        <w:trPr>
          <w:trHeight w:val="57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50A8F361" w14:textId="77777777" w:rsidR="008F489F" w:rsidRPr="00CF3172" w:rsidRDefault="008F489F" w:rsidP="00D219AC">
            <w:pPr>
              <w:spacing w:line="240" w:lineRule="auto"/>
              <w:ind w:firstLine="0"/>
              <w:jc w:val="left"/>
              <w:rPr>
                <w:color w:val="000000"/>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C8DBE14" w14:textId="77777777" w:rsidR="008F489F" w:rsidRPr="00CF3172" w:rsidRDefault="008F489F" w:rsidP="00D219AC">
            <w:pPr>
              <w:spacing w:line="240" w:lineRule="auto"/>
              <w:ind w:firstLine="0"/>
              <w:jc w:val="left"/>
              <w:rPr>
                <w:color w:val="000000"/>
                <w:sz w:val="24"/>
                <w:szCs w:val="24"/>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14:paraId="64C21068" w14:textId="77777777" w:rsidR="008F489F" w:rsidRPr="00CF3172" w:rsidRDefault="008F489F" w:rsidP="00D219AC">
            <w:pPr>
              <w:spacing w:line="240" w:lineRule="auto"/>
              <w:ind w:firstLine="0"/>
              <w:jc w:val="left"/>
              <w:rPr>
                <w:color w:val="000000"/>
                <w:sz w:val="24"/>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3FC4B77" w14:textId="77777777" w:rsidR="008F489F" w:rsidRPr="00CF3172" w:rsidRDefault="008F489F" w:rsidP="00D219AC">
            <w:pPr>
              <w:spacing w:line="240" w:lineRule="auto"/>
              <w:ind w:firstLine="0"/>
              <w:jc w:val="left"/>
              <w:rPr>
                <w:color w:val="000000"/>
                <w:sz w:val="24"/>
                <w:szCs w:val="24"/>
              </w:rPr>
            </w:pPr>
          </w:p>
        </w:tc>
      </w:tr>
      <w:tr w:rsidR="008F489F" w:rsidRPr="00CF3172" w14:paraId="1FFD16A8" w14:textId="77777777" w:rsidTr="008F489F">
        <w:trPr>
          <w:trHeight w:val="549"/>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1823046" w14:textId="77777777" w:rsidR="008F489F" w:rsidRPr="00CF3172" w:rsidRDefault="008F489F" w:rsidP="00D219AC">
            <w:pPr>
              <w:spacing w:line="240" w:lineRule="auto"/>
              <w:ind w:firstLine="0"/>
              <w:jc w:val="center"/>
              <w:rPr>
                <w:color w:val="000000"/>
                <w:sz w:val="24"/>
                <w:szCs w:val="24"/>
              </w:rPr>
            </w:pPr>
            <w:r w:rsidRPr="00CF3172">
              <w:rPr>
                <w:color w:val="000000"/>
                <w:sz w:val="24"/>
                <w:szCs w:val="24"/>
              </w:rPr>
              <w:t>1</w:t>
            </w:r>
          </w:p>
        </w:tc>
        <w:tc>
          <w:tcPr>
            <w:tcW w:w="2552" w:type="dxa"/>
            <w:tcBorders>
              <w:top w:val="nil"/>
              <w:left w:val="nil"/>
              <w:bottom w:val="single" w:sz="8" w:space="0" w:color="000000"/>
              <w:right w:val="single" w:sz="8" w:space="0" w:color="000000"/>
            </w:tcBorders>
            <w:shd w:val="clear" w:color="auto" w:fill="auto"/>
            <w:vAlign w:val="center"/>
            <w:hideMark/>
          </w:tcPr>
          <w:p w14:paraId="1A82B6A3" w14:textId="629B372C" w:rsidR="008F489F" w:rsidRPr="008F489F" w:rsidRDefault="008F489F" w:rsidP="00D219AC">
            <w:pPr>
              <w:spacing w:line="240" w:lineRule="auto"/>
              <w:ind w:firstLine="0"/>
              <w:jc w:val="left"/>
              <w:rPr>
                <w:color w:val="000000"/>
                <w:sz w:val="24"/>
                <w:szCs w:val="24"/>
                <w:lang w:val="en-US"/>
              </w:rPr>
            </w:pPr>
            <w:r>
              <w:rPr>
                <w:color w:val="000000"/>
                <w:sz w:val="24"/>
                <w:szCs w:val="24"/>
                <w:lang w:val="en-US"/>
              </w:rPr>
              <w:t>Quiz 1</w:t>
            </w:r>
          </w:p>
        </w:tc>
        <w:tc>
          <w:tcPr>
            <w:tcW w:w="2977" w:type="dxa"/>
            <w:tcBorders>
              <w:top w:val="nil"/>
              <w:left w:val="nil"/>
              <w:bottom w:val="single" w:sz="8" w:space="0" w:color="000000"/>
              <w:right w:val="single" w:sz="8" w:space="0" w:color="000000"/>
            </w:tcBorders>
            <w:shd w:val="clear" w:color="auto" w:fill="auto"/>
            <w:vAlign w:val="center"/>
            <w:hideMark/>
          </w:tcPr>
          <w:p w14:paraId="23A55073" w14:textId="17683B3A"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0-10</w:t>
            </w:r>
            <w:r>
              <w:rPr>
                <w:color w:val="000000"/>
                <w:sz w:val="24"/>
                <w:szCs w:val="24"/>
                <w:lang w:val="en-US"/>
              </w:rPr>
              <w:t xml:space="preserve"> (integer number)</w:t>
            </w:r>
          </w:p>
        </w:tc>
        <w:tc>
          <w:tcPr>
            <w:tcW w:w="1701" w:type="dxa"/>
            <w:tcBorders>
              <w:top w:val="nil"/>
              <w:left w:val="nil"/>
              <w:bottom w:val="single" w:sz="8" w:space="0" w:color="000000"/>
              <w:right w:val="single" w:sz="8" w:space="0" w:color="000000"/>
            </w:tcBorders>
            <w:shd w:val="clear" w:color="auto" w:fill="auto"/>
            <w:vAlign w:val="center"/>
            <w:hideMark/>
          </w:tcPr>
          <w:p w14:paraId="180C1F53" w14:textId="6EF1606E"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5%</w:t>
            </w:r>
          </w:p>
        </w:tc>
      </w:tr>
      <w:tr w:rsidR="008F489F" w:rsidRPr="00CF3172" w14:paraId="3264B8D5" w14:textId="77777777" w:rsidTr="008F489F">
        <w:trPr>
          <w:trHeight w:val="557"/>
        </w:trPr>
        <w:tc>
          <w:tcPr>
            <w:tcW w:w="557" w:type="dxa"/>
            <w:tcBorders>
              <w:top w:val="nil"/>
              <w:left w:val="single" w:sz="8" w:space="0" w:color="000000"/>
              <w:bottom w:val="single" w:sz="8" w:space="0" w:color="000000"/>
              <w:right w:val="single" w:sz="8" w:space="0" w:color="000000"/>
            </w:tcBorders>
            <w:shd w:val="clear" w:color="auto" w:fill="auto"/>
            <w:vAlign w:val="center"/>
          </w:tcPr>
          <w:p w14:paraId="2D93CF6A" w14:textId="5D137F18" w:rsidR="008F489F" w:rsidRPr="008F489F" w:rsidRDefault="008F489F" w:rsidP="00D219AC">
            <w:pPr>
              <w:spacing w:line="240" w:lineRule="auto"/>
              <w:ind w:firstLine="0"/>
              <w:jc w:val="center"/>
              <w:rPr>
                <w:color w:val="000000"/>
                <w:sz w:val="24"/>
                <w:szCs w:val="24"/>
                <w:lang w:val="en-US"/>
              </w:rPr>
            </w:pPr>
            <w:r>
              <w:rPr>
                <w:color w:val="000000"/>
                <w:sz w:val="24"/>
                <w:szCs w:val="24"/>
                <w:lang w:val="en-US"/>
              </w:rPr>
              <w:t>2</w:t>
            </w:r>
          </w:p>
        </w:tc>
        <w:tc>
          <w:tcPr>
            <w:tcW w:w="2552" w:type="dxa"/>
            <w:tcBorders>
              <w:top w:val="nil"/>
              <w:left w:val="nil"/>
              <w:bottom w:val="single" w:sz="8" w:space="0" w:color="000000"/>
              <w:right w:val="single" w:sz="8" w:space="0" w:color="000000"/>
            </w:tcBorders>
            <w:shd w:val="clear" w:color="auto" w:fill="auto"/>
            <w:vAlign w:val="center"/>
          </w:tcPr>
          <w:p w14:paraId="1A88D3C7" w14:textId="39FD3BA0" w:rsidR="008F489F" w:rsidRDefault="008F489F" w:rsidP="00D219AC">
            <w:pPr>
              <w:spacing w:line="240" w:lineRule="auto"/>
              <w:ind w:firstLine="0"/>
              <w:jc w:val="left"/>
              <w:rPr>
                <w:color w:val="000000"/>
                <w:sz w:val="24"/>
                <w:szCs w:val="24"/>
                <w:lang w:val="en-US"/>
              </w:rPr>
            </w:pPr>
            <w:r>
              <w:rPr>
                <w:color w:val="000000"/>
                <w:sz w:val="24"/>
                <w:szCs w:val="24"/>
                <w:lang w:val="en-US"/>
              </w:rPr>
              <w:t>Quiz 2</w:t>
            </w:r>
          </w:p>
        </w:tc>
        <w:tc>
          <w:tcPr>
            <w:tcW w:w="2977" w:type="dxa"/>
            <w:tcBorders>
              <w:top w:val="nil"/>
              <w:left w:val="nil"/>
              <w:bottom w:val="single" w:sz="8" w:space="0" w:color="000000"/>
              <w:right w:val="single" w:sz="8" w:space="0" w:color="000000"/>
            </w:tcBorders>
            <w:shd w:val="clear" w:color="auto" w:fill="auto"/>
            <w:vAlign w:val="center"/>
          </w:tcPr>
          <w:p w14:paraId="0E312A99" w14:textId="43BDECEB"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0-10 (integer number)</w:t>
            </w:r>
          </w:p>
        </w:tc>
        <w:tc>
          <w:tcPr>
            <w:tcW w:w="1701" w:type="dxa"/>
            <w:tcBorders>
              <w:top w:val="nil"/>
              <w:left w:val="nil"/>
              <w:bottom w:val="single" w:sz="8" w:space="0" w:color="000000"/>
              <w:right w:val="single" w:sz="8" w:space="0" w:color="000000"/>
            </w:tcBorders>
            <w:shd w:val="clear" w:color="auto" w:fill="auto"/>
            <w:vAlign w:val="center"/>
          </w:tcPr>
          <w:p w14:paraId="0F3BF6FE" w14:textId="41F7C736"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5%</w:t>
            </w:r>
          </w:p>
        </w:tc>
      </w:tr>
      <w:tr w:rsidR="008F489F" w:rsidRPr="00CF3172" w14:paraId="4973B6F7" w14:textId="77777777" w:rsidTr="008F489F">
        <w:trPr>
          <w:trHeight w:val="557"/>
        </w:trPr>
        <w:tc>
          <w:tcPr>
            <w:tcW w:w="557" w:type="dxa"/>
            <w:tcBorders>
              <w:top w:val="nil"/>
              <w:left w:val="single" w:sz="8" w:space="0" w:color="000000"/>
              <w:bottom w:val="single" w:sz="8" w:space="0" w:color="000000"/>
              <w:right w:val="single" w:sz="8" w:space="0" w:color="000000"/>
            </w:tcBorders>
            <w:shd w:val="clear" w:color="auto" w:fill="auto"/>
            <w:vAlign w:val="center"/>
          </w:tcPr>
          <w:p w14:paraId="5634F24D" w14:textId="1AB35D52" w:rsidR="008F489F" w:rsidRPr="008F489F" w:rsidRDefault="008F489F" w:rsidP="00D219AC">
            <w:pPr>
              <w:spacing w:line="240" w:lineRule="auto"/>
              <w:ind w:firstLine="0"/>
              <w:jc w:val="center"/>
              <w:rPr>
                <w:color w:val="000000"/>
                <w:sz w:val="24"/>
                <w:szCs w:val="24"/>
                <w:lang w:val="en-US"/>
              </w:rPr>
            </w:pPr>
            <w:r>
              <w:rPr>
                <w:color w:val="000000"/>
                <w:sz w:val="24"/>
                <w:szCs w:val="24"/>
                <w:lang w:val="en-US"/>
              </w:rPr>
              <w:t>3</w:t>
            </w:r>
          </w:p>
        </w:tc>
        <w:tc>
          <w:tcPr>
            <w:tcW w:w="2552" w:type="dxa"/>
            <w:tcBorders>
              <w:top w:val="nil"/>
              <w:left w:val="nil"/>
              <w:bottom w:val="single" w:sz="8" w:space="0" w:color="000000"/>
              <w:right w:val="single" w:sz="8" w:space="0" w:color="000000"/>
            </w:tcBorders>
            <w:shd w:val="clear" w:color="auto" w:fill="auto"/>
            <w:vAlign w:val="center"/>
          </w:tcPr>
          <w:p w14:paraId="4840560E" w14:textId="41C4DCE2" w:rsidR="008F489F" w:rsidRDefault="008F489F" w:rsidP="00D219AC">
            <w:pPr>
              <w:spacing w:line="240" w:lineRule="auto"/>
              <w:ind w:firstLine="0"/>
              <w:jc w:val="left"/>
              <w:rPr>
                <w:color w:val="000000"/>
                <w:sz w:val="24"/>
                <w:szCs w:val="24"/>
                <w:lang w:val="en-US"/>
              </w:rPr>
            </w:pPr>
            <w:r>
              <w:rPr>
                <w:color w:val="000000"/>
                <w:sz w:val="24"/>
                <w:szCs w:val="24"/>
                <w:lang w:val="en-US"/>
              </w:rPr>
              <w:t>Class participation</w:t>
            </w:r>
          </w:p>
        </w:tc>
        <w:tc>
          <w:tcPr>
            <w:tcW w:w="2977" w:type="dxa"/>
            <w:tcBorders>
              <w:top w:val="nil"/>
              <w:left w:val="nil"/>
              <w:bottom w:val="single" w:sz="8" w:space="0" w:color="000000"/>
              <w:right w:val="single" w:sz="8" w:space="0" w:color="000000"/>
            </w:tcBorders>
            <w:shd w:val="clear" w:color="auto" w:fill="auto"/>
            <w:vAlign w:val="center"/>
          </w:tcPr>
          <w:p w14:paraId="67322802" w14:textId="1B038FED"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0-10 (integer number)</w:t>
            </w:r>
          </w:p>
        </w:tc>
        <w:tc>
          <w:tcPr>
            <w:tcW w:w="1701" w:type="dxa"/>
            <w:tcBorders>
              <w:top w:val="nil"/>
              <w:left w:val="nil"/>
              <w:bottom w:val="single" w:sz="8" w:space="0" w:color="000000"/>
              <w:right w:val="single" w:sz="8" w:space="0" w:color="000000"/>
            </w:tcBorders>
            <w:shd w:val="clear" w:color="auto" w:fill="auto"/>
            <w:vAlign w:val="center"/>
          </w:tcPr>
          <w:p w14:paraId="0A35B52A" w14:textId="78F99AC5" w:rsidR="008F489F" w:rsidRDefault="008F489F" w:rsidP="00D219AC">
            <w:pPr>
              <w:spacing w:line="240" w:lineRule="auto"/>
              <w:ind w:firstLine="0"/>
              <w:jc w:val="center"/>
              <w:rPr>
                <w:color w:val="000000"/>
                <w:sz w:val="24"/>
                <w:szCs w:val="24"/>
                <w:lang w:val="en-US"/>
              </w:rPr>
            </w:pPr>
            <w:r>
              <w:rPr>
                <w:color w:val="000000"/>
                <w:sz w:val="24"/>
                <w:szCs w:val="24"/>
                <w:lang w:val="en-US"/>
              </w:rPr>
              <w:t>10%</w:t>
            </w:r>
          </w:p>
        </w:tc>
      </w:tr>
      <w:tr w:rsidR="008F489F" w:rsidRPr="00CF3172" w14:paraId="1DDD3839" w14:textId="77777777" w:rsidTr="008F489F">
        <w:trPr>
          <w:trHeight w:val="557"/>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B5AEBB2" w14:textId="7212C3E2" w:rsidR="008F489F" w:rsidRPr="008F489F" w:rsidRDefault="008F489F" w:rsidP="00D219AC">
            <w:pPr>
              <w:spacing w:line="240" w:lineRule="auto"/>
              <w:ind w:firstLine="0"/>
              <w:jc w:val="center"/>
              <w:rPr>
                <w:color w:val="000000"/>
                <w:sz w:val="24"/>
                <w:szCs w:val="24"/>
                <w:lang w:val="en-US"/>
              </w:rPr>
            </w:pPr>
            <w:r>
              <w:rPr>
                <w:color w:val="000000"/>
                <w:sz w:val="24"/>
                <w:szCs w:val="24"/>
                <w:lang w:val="en-US"/>
              </w:rPr>
              <w:t>4</w:t>
            </w:r>
          </w:p>
        </w:tc>
        <w:tc>
          <w:tcPr>
            <w:tcW w:w="2552" w:type="dxa"/>
            <w:tcBorders>
              <w:top w:val="nil"/>
              <w:left w:val="nil"/>
              <w:bottom w:val="single" w:sz="8" w:space="0" w:color="000000"/>
              <w:right w:val="single" w:sz="8" w:space="0" w:color="000000"/>
            </w:tcBorders>
            <w:shd w:val="clear" w:color="auto" w:fill="auto"/>
            <w:vAlign w:val="center"/>
            <w:hideMark/>
          </w:tcPr>
          <w:p w14:paraId="7A10DC22" w14:textId="71100659" w:rsidR="008F489F" w:rsidRPr="00CF3172" w:rsidRDefault="008F489F" w:rsidP="00D219AC">
            <w:pPr>
              <w:spacing w:line="240" w:lineRule="auto"/>
              <w:ind w:firstLine="0"/>
              <w:jc w:val="left"/>
              <w:rPr>
                <w:color w:val="000000"/>
                <w:sz w:val="24"/>
                <w:szCs w:val="24"/>
                <w:lang w:val="en-US"/>
              </w:rPr>
            </w:pPr>
            <w:r>
              <w:rPr>
                <w:color w:val="000000"/>
                <w:sz w:val="24"/>
                <w:szCs w:val="24"/>
                <w:lang w:val="en-US"/>
              </w:rPr>
              <w:t>Written test</w:t>
            </w:r>
          </w:p>
        </w:tc>
        <w:tc>
          <w:tcPr>
            <w:tcW w:w="2977" w:type="dxa"/>
            <w:tcBorders>
              <w:top w:val="nil"/>
              <w:left w:val="nil"/>
              <w:bottom w:val="single" w:sz="8" w:space="0" w:color="000000"/>
              <w:right w:val="single" w:sz="8" w:space="0" w:color="000000"/>
            </w:tcBorders>
            <w:shd w:val="clear" w:color="auto" w:fill="auto"/>
            <w:vAlign w:val="center"/>
            <w:hideMark/>
          </w:tcPr>
          <w:p w14:paraId="73DA07B3" w14:textId="2F67EA73"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0-10 (integer number)</w:t>
            </w:r>
          </w:p>
        </w:tc>
        <w:tc>
          <w:tcPr>
            <w:tcW w:w="1701" w:type="dxa"/>
            <w:tcBorders>
              <w:top w:val="nil"/>
              <w:left w:val="nil"/>
              <w:bottom w:val="single" w:sz="8" w:space="0" w:color="000000"/>
              <w:right w:val="single" w:sz="8" w:space="0" w:color="000000"/>
            </w:tcBorders>
            <w:shd w:val="clear" w:color="auto" w:fill="auto"/>
            <w:vAlign w:val="center"/>
            <w:hideMark/>
          </w:tcPr>
          <w:p w14:paraId="0E6647E8" w14:textId="146F1283"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30%</w:t>
            </w:r>
          </w:p>
        </w:tc>
      </w:tr>
      <w:tr w:rsidR="008F489F" w:rsidRPr="00CF3172" w14:paraId="123022AF" w14:textId="77777777" w:rsidTr="008F489F">
        <w:trPr>
          <w:trHeight w:val="537"/>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AC2961C" w14:textId="57FEC07F" w:rsidR="008F489F" w:rsidRPr="008F489F" w:rsidRDefault="008F489F" w:rsidP="00D219AC">
            <w:pPr>
              <w:spacing w:line="240" w:lineRule="auto"/>
              <w:ind w:firstLine="0"/>
              <w:jc w:val="center"/>
              <w:rPr>
                <w:color w:val="000000"/>
                <w:sz w:val="24"/>
                <w:szCs w:val="24"/>
                <w:lang w:val="en-US"/>
              </w:rPr>
            </w:pPr>
            <w:r>
              <w:rPr>
                <w:color w:val="000000"/>
                <w:sz w:val="24"/>
                <w:szCs w:val="24"/>
                <w:lang w:val="en-US"/>
              </w:rPr>
              <w:t>5</w:t>
            </w:r>
          </w:p>
        </w:tc>
        <w:tc>
          <w:tcPr>
            <w:tcW w:w="2552" w:type="dxa"/>
            <w:tcBorders>
              <w:top w:val="nil"/>
              <w:left w:val="nil"/>
              <w:bottom w:val="single" w:sz="8" w:space="0" w:color="000000"/>
              <w:right w:val="single" w:sz="8" w:space="0" w:color="000000"/>
            </w:tcBorders>
            <w:shd w:val="clear" w:color="auto" w:fill="auto"/>
            <w:vAlign w:val="center"/>
            <w:hideMark/>
          </w:tcPr>
          <w:p w14:paraId="26057AE1" w14:textId="0B37FC6B" w:rsidR="008F489F" w:rsidRPr="00CF3172" w:rsidRDefault="008F489F" w:rsidP="00D219AC">
            <w:pPr>
              <w:spacing w:line="240" w:lineRule="auto"/>
              <w:ind w:firstLine="0"/>
              <w:jc w:val="left"/>
              <w:rPr>
                <w:color w:val="000000"/>
                <w:sz w:val="24"/>
                <w:szCs w:val="24"/>
                <w:lang w:val="en-US"/>
              </w:rPr>
            </w:pPr>
            <w:r>
              <w:rPr>
                <w:color w:val="000000"/>
                <w:sz w:val="24"/>
                <w:szCs w:val="24"/>
                <w:lang w:val="en-US"/>
              </w:rPr>
              <w:t>Group project</w:t>
            </w:r>
          </w:p>
        </w:tc>
        <w:tc>
          <w:tcPr>
            <w:tcW w:w="2977" w:type="dxa"/>
            <w:tcBorders>
              <w:top w:val="nil"/>
              <w:left w:val="nil"/>
              <w:bottom w:val="single" w:sz="8" w:space="0" w:color="000000"/>
              <w:right w:val="single" w:sz="8" w:space="0" w:color="000000"/>
            </w:tcBorders>
            <w:shd w:val="clear" w:color="auto" w:fill="auto"/>
            <w:vAlign w:val="center"/>
            <w:hideMark/>
          </w:tcPr>
          <w:p w14:paraId="3B47C0E3" w14:textId="703E7473"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0-10 (integer number)</w:t>
            </w:r>
          </w:p>
        </w:tc>
        <w:tc>
          <w:tcPr>
            <w:tcW w:w="1701" w:type="dxa"/>
            <w:tcBorders>
              <w:top w:val="nil"/>
              <w:left w:val="nil"/>
              <w:bottom w:val="single" w:sz="8" w:space="0" w:color="000000"/>
              <w:right w:val="single" w:sz="8" w:space="0" w:color="000000"/>
            </w:tcBorders>
            <w:shd w:val="clear" w:color="auto" w:fill="auto"/>
            <w:vAlign w:val="center"/>
            <w:hideMark/>
          </w:tcPr>
          <w:p w14:paraId="4ABF9251" w14:textId="2923E96D" w:rsidR="008F489F" w:rsidRPr="00CF3172" w:rsidRDefault="008F489F" w:rsidP="00D219AC">
            <w:pPr>
              <w:spacing w:line="240" w:lineRule="auto"/>
              <w:ind w:firstLine="0"/>
              <w:jc w:val="center"/>
              <w:rPr>
                <w:color w:val="000000"/>
                <w:sz w:val="24"/>
                <w:szCs w:val="24"/>
                <w:lang w:val="en-US"/>
              </w:rPr>
            </w:pPr>
            <w:r>
              <w:rPr>
                <w:color w:val="000000"/>
                <w:sz w:val="24"/>
                <w:szCs w:val="24"/>
                <w:lang w:val="en-US"/>
              </w:rPr>
              <w:t>50%</w:t>
            </w:r>
          </w:p>
        </w:tc>
      </w:tr>
      <w:tr w:rsidR="008F489F" w:rsidRPr="00CF3172" w14:paraId="1F5CFAF1" w14:textId="77777777" w:rsidTr="008F489F">
        <w:trPr>
          <w:trHeight w:val="34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9FA02" w14:textId="502149FA" w:rsidR="008F489F" w:rsidRPr="00CF3172" w:rsidRDefault="008F489F" w:rsidP="00D219AC">
            <w:pPr>
              <w:spacing w:line="240" w:lineRule="auto"/>
              <w:ind w:firstLine="0"/>
              <w:jc w:val="left"/>
              <w:rPr>
                <w:b/>
                <w:bCs/>
                <w:color w:val="000000"/>
                <w:sz w:val="24"/>
                <w:szCs w:val="24"/>
              </w:rPr>
            </w:pPr>
            <w:r>
              <w:rPr>
                <w:b/>
                <w:bCs/>
                <w:color w:val="000000"/>
                <w:sz w:val="24"/>
                <w:szCs w:val="24"/>
                <w:lang w:val="en-US"/>
              </w:rPr>
              <w:t>Final</w:t>
            </w:r>
            <w:r w:rsidRPr="00CF3172">
              <w:rPr>
                <w:b/>
                <w:bCs/>
                <w:color w:val="000000"/>
                <w:sz w:val="24"/>
                <w:szCs w:val="24"/>
                <w:lang w:val="en-US"/>
              </w:rPr>
              <w:t xml:space="preserve"> </w:t>
            </w:r>
            <w:r>
              <w:rPr>
                <w:b/>
                <w:bCs/>
                <w:color w:val="000000"/>
                <w:sz w:val="24"/>
                <w:szCs w:val="24"/>
                <w:lang w:val="en-US"/>
              </w:rPr>
              <w:t>mark (0-10),</w:t>
            </w:r>
            <w:r>
              <w:rPr>
                <w:b/>
                <w:bCs/>
                <w:color w:val="000000"/>
                <w:sz w:val="24"/>
                <w:szCs w:val="24"/>
                <w:lang w:val="en-US"/>
              </w:rPr>
              <w:br/>
              <w:t>weighted average</w:t>
            </w:r>
          </w:p>
        </w:tc>
        <w:tc>
          <w:tcPr>
            <w:tcW w:w="2977" w:type="dxa"/>
            <w:tcBorders>
              <w:top w:val="nil"/>
              <w:left w:val="nil"/>
              <w:bottom w:val="single" w:sz="8" w:space="0" w:color="000000"/>
              <w:right w:val="single" w:sz="8" w:space="0" w:color="000000"/>
            </w:tcBorders>
            <w:shd w:val="clear" w:color="auto" w:fill="auto"/>
            <w:vAlign w:val="center"/>
            <w:hideMark/>
          </w:tcPr>
          <w:p w14:paraId="5D19255F" w14:textId="27793FB7" w:rsidR="008F489F" w:rsidRPr="008F489F" w:rsidRDefault="008F489F" w:rsidP="00D219AC">
            <w:pPr>
              <w:spacing w:line="240" w:lineRule="auto"/>
              <w:ind w:firstLine="0"/>
              <w:jc w:val="center"/>
              <w:rPr>
                <w:b/>
                <w:bCs/>
                <w:color w:val="000000"/>
                <w:sz w:val="24"/>
                <w:szCs w:val="24"/>
                <w:lang w:val="en-US"/>
              </w:rPr>
            </w:pPr>
            <w:r w:rsidRPr="008F489F">
              <w:rPr>
                <w:b/>
                <w:bCs/>
                <w:color w:val="000000"/>
                <w:sz w:val="24"/>
                <w:szCs w:val="24"/>
                <w:lang w:val="en-US"/>
              </w:rPr>
              <w:t>0-10 (integer number)</w:t>
            </w:r>
          </w:p>
        </w:tc>
        <w:tc>
          <w:tcPr>
            <w:tcW w:w="1701" w:type="dxa"/>
            <w:tcBorders>
              <w:top w:val="nil"/>
              <w:left w:val="nil"/>
              <w:bottom w:val="single" w:sz="8" w:space="0" w:color="000000"/>
              <w:right w:val="single" w:sz="8" w:space="0" w:color="000000"/>
            </w:tcBorders>
            <w:shd w:val="clear" w:color="auto" w:fill="auto"/>
            <w:vAlign w:val="center"/>
            <w:hideMark/>
          </w:tcPr>
          <w:p w14:paraId="28BB9716" w14:textId="492E12F1" w:rsidR="008F489F" w:rsidRPr="00CF3172" w:rsidRDefault="008F489F" w:rsidP="00D219AC">
            <w:pPr>
              <w:spacing w:line="240" w:lineRule="auto"/>
              <w:ind w:firstLine="0"/>
              <w:jc w:val="center"/>
              <w:rPr>
                <w:b/>
                <w:bCs/>
                <w:color w:val="000000"/>
                <w:sz w:val="24"/>
                <w:szCs w:val="24"/>
                <w:lang w:val="en-US"/>
              </w:rPr>
            </w:pPr>
            <w:r>
              <w:rPr>
                <w:b/>
                <w:bCs/>
                <w:color w:val="000000"/>
                <w:sz w:val="24"/>
                <w:szCs w:val="24"/>
                <w:lang w:val="en-US"/>
              </w:rPr>
              <w:t>100%</w:t>
            </w:r>
          </w:p>
        </w:tc>
      </w:tr>
    </w:tbl>
    <w:p w14:paraId="49C50E55" w14:textId="77777777" w:rsidR="00D219AC" w:rsidRPr="00CF3172" w:rsidRDefault="00D219AC" w:rsidP="00D219AC">
      <w:pPr>
        <w:pStyle w:val="affffd"/>
        <w:shd w:val="clear" w:color="auto" w:fill="FFFFFF"/>
        <w:spacing w:before="0" w:beforeAutospacing="0" w:after="0" w:afterAutospacing="0"/>
        <w:jc w:val="both"/>
        <w:rPr>
          <w:color w:val="000000"/>
          <w:lang w:val="en-US"/>
        </w:rPr>
      </w:pPr>
    </w:p>
    <w:p w14:paraId="5B10FD7B" w14:textId="738BE12C" w:rsidR="008F489F" w:rsidRPr="00CF3172" w:rsidRDefault="008F489F" w:rsidP="008F489F">
      <w:pPr>
        <w:pStyle w:val="affffd"/>
        <w:numPr>
          <w:ilvl w:val="0"/>
          <w:numId w:val="23"/>
        </w:numPr>
        <w:shd w:val="clear" w:color="auto" w:fill="FFFFFF"/>
        <w:spacing w:before="0" w:beforeAutospacing="0" w:after="0" w:afterAutospacing="0"/>
        <w:jc w:val="both"/>
        <w:rPr>
          <w:color w:val="000000"/>
          <w:lang w:val="en-US"/>
        </w:rPr>
      </w:pPr>
      <w:r w:rsidRPr="00CF3172">
        <w:rPr>
          <w:color w:val="000000"/>
          <w:lang w:val="en-US"/>
        </w:rPr>
        <w:t xml:space="preserve">Quiz is </w:t>
      </w:r>
      <w:r>
        <w:rPr>
          <w:color w:val="000000"/>
          <w:lang w:val="en-US"/>
        </w:rPr>
        <w:t xml:space="preserve">a </w:t>
      </w:r>
      <w:r w:rsidRPr="00CF3172">
        <w:rPr>
          <w:color w:val="000000"/>
          <w:lang w:val="en-US"/>
        </w:rPr>
        <w:t>brief test</w:t>
      </w:r>
      <w:r>
        <w:rPr>
          <w:color w:val="000000"/>
          <w:lang w:val="en-US"/>
        </w:rPr>
        <w:t xml:space="preserve"> (10 minutes)</w:t>
      </w:r>
      <w:r w:rsidRPr="00CF3172">
        <w:rPr>
          <w:color w:val="000000"/>
          <w:lang w:val="en-US"/>
        </w:rPr>
        <w:t xml:space="preserve"> </w:t>
      </w:r>
      <w:r>
        <w:rPr>
          <w:color w:val="000000"/>
          <w:lang w:val="en-US"/>
        </w:rPr>
        <w:t xml:space="preserve">run during the class using an online platform </w:t>
      </w:r>
      <w:r w:rsidRPr="00CF3172">
        <w:rPr>
          <w:color w:val="000000"/>
          <w:lang w:val="en-US"/>
        </w:rPr>
        <w:t>covering the topics discussed during the previous class</w:t>
      </w:r>
      <w:r>
        <w:rPr>
          <w:color w:val="000000"/>
          <w:lang w:val="en-US"/>
        </w:rPr>
        <w:t>es</w:t>
      </w:r>
      <w:r w:rsidRPr="00CF3172">
        <w:rPr>
          <w:color w:val="000000"/>
          <w:lang w:val="en-US"/>
        </w:rPr>
        <w:t>;</w:t>
      </w:r>
    </w:p>
    <w:p w14:paraId="5DAD2E80" w14:textId="77777777" w:rsidR="007C43D3" w:rsidRPr="00CF3172" w:rsidRDefault="007C43D3" w:rsidP="008F489F">
      <w:pPr>
        <w:pStyle w:val="affffd"/>
        <w:numPr>
          <w:ilvl w:val="0"/>
          <w:numId w:val="23"/>
        </w:numPr>
        <w:shd w:val="clear" w:color="auto" w:fill="FFFFFF"/>
        <w:spacing w:before="0" w:beforeAutospacing="0" w:after="0" w:afterAutospacing="0"/>
        <w:jc w:val="both"/>
        <w:rPr>
          <w:color w:val="000000"/>
          <w:lang w:val="en-US"/>
        </w:rPr>
      </w:pPr>
      <w:r w:rsidRPr="00CF3172">
        <w:rPr>
          <w:color w:val="000000"/>
          <w:lang w:val="en-US"/>
        </w:rPr>
        <w:t>Class participation includes answering questions, participation in the group discussion and problem solving.</w:t>
      </w:r>
    </w:p>
    <w:p w14:paraId="71B37793" w14:textId="147D111D" w:rsidR="007C43D3" w:rsidRPr="00CF3172" w:rsidRDefault="008F489F" w:rsidP="008F489F">
      <w:pPr>
        <w:pStyle w:val="affffd"/>
        <w:numPr>
          <w:ilvl w:val="0"/>
          <w:numId w:val="23"/>
        </w:numPr>
        <w:shd w:val="clear" w:color="auto" w:fill="FFFFFF"/>
        <w:spacing w:before="0" w:beforeAutospacing="0" w:after="0" w:afterAutospacing="0"/>
        <w:jc w:val="both"/>
        <w:rPr>
          <w:color w:val="000000"/>
          <w:lang w:val="en-US"/>
        </w:rPr>
      </w:pPr>
      <w:r>
        <w:rPr>
          <w:color w:val="000000"/>
          <w:lang w:val="en-US"/>
        </w:rPr>
        <w:t>Written test</w:t>
      </w:r>
      <w:r w:rsidR="007C43D3" w:rsidRPr="00CF3172">
        <w:rPr>
          <w:color w:val="000000"/>
          <w:lang w:val="en-US"/>
        </w:rPr>
        <w:t xml:space="preserve"> includes essay-type theoretical questions and problem solving;</w:t>
      </w:r>
    </w:p>
    <w:p w14:paraId="0CFF3FFC" w14:textId="1C0C810B" w:rsidR="007C43D3" w:rsidRPr="00CF3172" w:rsidRDefault="007C43D3" w:rsidP="008F489F">
      <w:pPr>
        <w:pStyle w:val="affffd"/>
        <w:numPr>
          <w:ilvl w:val="0"/>
          <w:numId w:val="23"/>
        </w:numPr>
        <w:shd w:val="clear" w:color="auto" w:fill="FFFFFF"/>
        <w:spacing w:before="0" w:beforeAutospacing="0" w:after="0" w:afterAutospacing="0"/>
        <w:jc w:val="both"/>
        <w:rPr>
          <w:color w:val="000000"/>
          <w:lang w:val="en-US"/>
        </w:rPr>
      </w:pPr>
      <w:r w:rsidRPr="00CF3172">
        <w:rPr>
          <w:color w:val="000000"/>
          <w:lang w:val="en-US"/>
        </w:rPr>
        <w:t xml:space="preserve">Group project includes work with real company and market data. A group of maximum </w:t>
      </w:r>
      <w:r w:rsidR="008F489F">
        <w:rPr>
          <w:color w:val="000000"/>
          <w:lang w:val="en-US"/>
        </w:rPr>
        <w:t>3</w:t>
      </w:r>
      <w:r w:rsidRPr="00CF3172">
        <w:rPr>
          <w:color w:val="000000"/>
          <w:lang w:val="en-US"/>
        </w:rPr>
        <w:t xml:space="preserve"> students is supposed to describe and evaluation an investment decision in a real company. This work is limited to publicly available data. Students are expected to present their results </w:t>
      </w:r>
      <w:r w:rsidR="008F489F">
        <w:rPr>
          <w:color w:val="000000"/>
          <w:lang w:val="en-US"/>
        </w:rPr>
        <w:t>at the final</w:t>
      </w:r>
      <w:r w:rsidRPr="00CF3172">
        <w:rPr>
          <w:color w:val="000000"/>
          <w:lang w:val="en-US"/>
        </w:rPr>
        <w:t xml:space="preserve"> class</w:t>
      </w:r>
      <w:r w:rsidR="008F489F">
        <w:rPr>
          <w:color w:val="000000"/>
          <w:lang w:val="en-US"/>
        </w:rPr>
        <w:t>.</w:t>
      </w:r>
    </w:p>
    <w:p w14:paraId="2370CD67" w14:textId="77777777" w:rsidR="007C43D3" w:rsidRPr="008F489F" w:rsidRDefault="007C43D3" w:rsidP="00D219AC">
      <w:pPr>
        <w:pStyle w:val="affffd"/>
        <w:shd w:val="clear" w:color="auto" w:fill="FFFFFF"/>
        <w:spacing w:before="0" w:beforeAutospacing="0" w:after="0" w:afterAutospacing="0"/>
        <w:jc w:val="both"/>
        <w:rPr>
          <w:color w:val="000000"/>
          <w:sz w:val="12"/>
          <w:szCs w:val="12"/>
          <w:lang w:val="en-US"/>
        </w:rPr>
      </w:pPr>
    </w:p>
    <w:p w14:paraId="2A03B890" w14:textId="019A1075" w:rsidR="008F489F" w:rsidRPr="00CF3172" w:rsidRDefault="007C43D3" w:rsidP="008F489F">
      <w:pPr>
        <w:pStyle w:val="affffd"/>
        <w:shd w:val="clear" w:color="auto" w:fill="FFFFFF"/>
        <w:spacing w:before="0" w:beforeAutospacing="0" w:after="0" w:afterAutospacing="0"/>
        <w:jc w:val="both"/>
        <w:rPr>
          <w:color w:val="000000"/>
          <w:lang w:val="en-US"/>
        </w:rPr>
      </w:pPr>
      <w:r w:rsidRPr="00CF3172">
        <w:rPr>
          <w:color w:val="000000"/>
          <w:lang w:val="en-US"/>
        </w:rPr>
        <w:t>Linear system applies. No part of the total mark is blocking.</w:t>
      </w:r>
      <w:r w:rsidR="008F489F" w:rsidRPr="008F489F">
        <w:rPr>
          <w:color w:val="000000"/>
          <w:lang w:val="en-US"/>
        </w:rPr>
        <w:t xml:space="preserve"> </w:t>
      </w:r>
      <w:r w:rsidR="008F489F">
        <w:rPr>
          <w:color w:val="000000"/>
          <w:lang w:val="en-US"/>
        </w:rPr>
        <w:t>Final</w:t>
      </w:r>
      <w:r w:rsidR="008F489F" w:rsidRPr="00CF3172">
        <w:rPr>
          <w:color w:val="000000"/>
          <w:lang w:val="en-US"/>
        </w:rPr>
        <w:t xml:space="preserve"> mark is </w:t>
      </w:r>
      <w:r w:rsidR="008F489F">
        <w:rPr>
          <w:color w:val="000000"/>
          <w:lang w:val="en-US"/>
        </w:rPr>
        <w:t>rounded according to general mathematic rules.</w:t>
      </w:r>
    </w:p>
    <w:p w14:paraId="2C159B1D" w14:textId="77777777" w:rsidR="008F489F" w:rsidRPr="00CF3172" w:rsidRDefault="008F489F" w:rsidP="00D219AC">
      <w:pPr>
        <w:pStyle w:val="affffd"/>
        <w:shd w:val="clear" w:color="auto" w:fill="FFFFFF"/>
        <w:spacing w:before="0" w:beforeAutospacing="0" w:after="0" w:afterAutospacing="0"/>
        <w:jc w:val="both"/>
        <w:rPr>
          <w:b/>
          <w:bCs/>
          <w:color w:val="000000"/>
          <w:lang w:val="en-US"/>
        </w:rPr>
      </w:pPr>
    </w:p>
    <w:tbl>
      <w:tblPr>
        <w:tblW w:w="0" w:type="auto"/>
        <w:tblInd w:w="-8" w:type="dxa"/>
        <w:tblLayout w:type="fixed"/>
        <w:tblCellMar>
          <w:left w:w="0" w:type="dxa"/>
          <w:right w:w="0" w:type="dxa"/>
        </w:tblCellMar>
        <w:tblLook w:val="01E0" w:firstRow="1" w:lastRow="1" w:firstColumn="1" w:lastColumn="1" w:noHBand="0" w:noVBand="0"/>
      </w:tblPr>
      <w:tblGrid>
        <w:gridCol w:w="1276"/>
        <w:gridCol w:w="1276"/>
        <w:gridCol w:w="2126"/>
      </w:tblGrid>
      <w:tr w:rsidR="007C43D3" w:rsidRPr="00CF3172" w14:paraId="0329EDB9" w14:textId="77777777" w:rsidTr="007C43D3">
        <w:trPr>
          <w:trHeight w:hRule="exact" w:val="454"/>
        </w:trPr>
        <w:tc>
          <w:tcPr>
            <w:tcW w:w="1276" w:type="dxa"/>
            <w:tcBorders>
              <w:top w:val="single" w:sz="6" w:space="0" w:color="000000"/>
              <w:left w:val="single" w:sz="6" w:space="0" w:color="000000"/>
              <w:bottom w:val="single" w:sz="6" w:space="0" w:color="000000"/>
              <w:right w:val="single" w:sz="6" w:space="0" w:color="000000"/>
            </w:tcBorders>
            <w:hideMark/>
          </w:tcPr>
          <w:p w14:paraId="218F33FA" w14:textId="77777777" w:rsidR="007C43D3" w:rsidRPr="00CF3172" w:rsidRDefault="007C43D3" w:rsidP="00D219AC">
            <w:pPr>
              <w:pStyle w:val="affffd"/>
              <w:shd w:val="clear" w:color="auto" w:fill="FFFFFF"/>
              <w:spacing w:before="0" w:beforeAutospacing="0" w:after="0" w:afterAutospacing="0"/>
              <w:jc w:val="center"/>
              <w:rPr>
                <w:b/>
                <w:bCs/>
                <w:color w:val="000000"/>
                <w:lang w:val="en-US"/>
              </w:rPr>
            </w:pPr>
            <w:r w:rsidRPr="00CF3172">
              <w:rPr>
                <w:b/>
                <w:bCs/>
                <w:color w:val="000000"/>
                <w:lang w:val="en-US"/>
              </w:rPr>
              <w:t>From</w:t>
            </w:r>
          </w:p>
        </w:tc>
        <w:tc>
          <w:tcPr>
            <w:tcW w:w="1276" w:type="dxa"/>
            <w:tcBorders>
              <w:top w:val="single" w:sz="6" w:space="0" w:color="000000"/>
              <w:left w:val="single" w:sz="6" w:space="0" w:color="000000"/>
              <w:bottom w:val="single" w:sz="6" w:space="0" w:color="000000"/>
              <w:right w:val="single" w:sz="6" w:space="0" w:color="000000"/>
            </w:tcBorders>
            <w:hideMark/>
          </w:tcPr>
          <w:p w14:paraId="0DC9D4D1" w14:textId="77777777" w:rsidR="007C43D3" w:rsidRPr="00CF3172" w:rsidRDefault="007C43D3" w:rsidP="00D219AC">
            <w:pPr>
              <w:pStyle w:val="affffd"/>
              <w:shd w:val="clear" w:color="auto" w:fill="FFFFFF"/>
              <w:spacing w:before="0" w:beforeAutospacing="0" w:after="0" w:afterAutospacing="0"/>
              <w:jc w:val="center"/>
              <w:rPr>
                <w:b/>
                <w:bCs/>
                <w:color w:val="000000"/>
                <w:lang w:val="en-US"/>
              </w:rPr>
            </w:pPr>
            <w:r w:rsidRPr="00CF3172">
              <w:rPr>
                <w:b/>
                <w:bCs/>
                <w:color w:val="000000"/>
                <w:lang w:val="en-US"/>
              </w:rPr>
              <w:t>To</w:t>
            </w:r>
          </w:p>
        </w:tc>
        <w:tc>
          <w:tcPr>
            <w:tcW w:w="2126" w:type="dxa"/>
            <w:tcBorders>
              <w:top w:val="single" w:sz="6" w:space="0" w:color="000000"/>
              <w:left w:val="single" w:sz="6" w:space="0" w:color="000000"/>
              <w:bottom w:val="single" w:sz="6" w:space="0" w:color="000000"/>
              <w:right w:val="single" w:sz="6" w:space="0" w:color="000000"/>
            </w:tcBorders>
            <w:hideMark/>
          </w:tcPr>
          <w:p w14:paraId="12F604FC" w14:textId="77777777" w:rsidR="007C43D3" w:rsidRPr="00CF3172" w:rsidRDefault="007C43D3" w:rsidP="00D219AC">
            <w:pPr>
              <w:pStyle w:val="affffd"/>
              <w:shd w:val="clear" w:color="auto" w:fill="FFFFFF"/>
              <w:spacing w:before="0" w:beforeAutospacing="0" w:after="0" w:afterAutospacing="0"/>
              <w:jc w:val="center"/>
              <w:rPr>
                <w:b/>
                <w:bCs/>
                <w:color w:val="000000"/>
                <w:lang w:val="en-US"/>
              </w:rPr>
            </w:pPr>
            <w:r w:rsidRPr="00CF3172">
              <w:rPr>
                <w:b/>
                <w:bCs/>
                <w:color w:val="000000"/>
                <w:lang w:val="en-US"/>
              </w:rPr>
              <w:t>Mark</w:t>
            </w:r>
          </w:p>
        </w:tc>
      </w:tr>
      <w:tr w:rsidR="007C43D3" w:rsidRPr="00CF3172" w14:paraId="78ED5A2D" w14:textId="77777777" w:rsidTr="007C43D3">
        <w:trPr>
          <w:trHeight w:hRule="exact" w:val="444"/>
        </w:trPr>
        <w:tc>
          <w:tcPr>
            <w:tcW w:w="1276" w:type="dxa"/>
            <w:tcBorders>
              <w:top w:val="single" w:sz="6" w:space="0" w:color="000000"/>
              <w:left w:val="single" w:sz="6" w:space="0" w:color="000000"/>
              <w:bottom w:val="single" w:sz="6" w:space="0" w:color="000000"/>
              <w:right w:val="single" w:sz="6" w:space="0" w:color="000000"/>
            </w:tcBorders>
            <w:hideMark/>
          </w:tcPr>
          <w:p w14:paraId="7A919231"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0</w:t>
            </w:r>
          </w:p>
        </w:tc>
        <w:tc>
          <w:tcPr>
            <w:tcW w:w="1276" w:type="dxa"/>
            <w:tcBorders>
              <w:top w:val="single" w:sz="6" w:space="0" w:color="000000"/>
              <w:left w:val="single" w:sz="6" w:space="0" w:color="000000"/>
              <w:bottom w:val="single" w:sz="6" w:space="0" w:color="000000"/>
              <w:right w:val="single" w:sz="6" w:space="0" w:color="000000"/>
            </w:tcBorders>
            <w:hideMark/>
          </w:tcPr>
          <w:p w14:paraId="3DA266A7"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3</w:t>
            </w:r>
          </w:p>
        </w:tc>
        <w:tc>
          <w:tcPr>
            <w:tcW w:w="2126" w:type="dxa"/>
            <w:tcBorders>
              <w:top w:val="single" w:sz="6" w:space="0" w:color="000000"/>
              <w:left w:val="single" w:sz="6" w:space="0" w:color="000000"/>
              <w:bottom w:val="single" w:sz="6" w:space="0" w:color="000000"/>
              <w:right w:val="single" w:sz="6" w:space="0" w:color="000000"/>
            </w:tcBorders>
            <w:hideMark/>
          </w:tcPr>
          <w:p w14:paraId="1A48E106"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Fail</w:t>
            </w:r>
          </w:p>
        </w:tc>
      </w:tr>
      <w:tr w:rsidR="007C43D3" w:rsidRPr="00CF3172" w14:paraId="66C39A16" w14:textId="77777777" w:rsidTr="007C43D3">
        <w:trPr>
          <w:trHeight w:hRule="exact" w:val="448"/>
        </w:trPr>
        <w:tc>
          <w:tcPr>
            <w:tcW w:w="1276" w:type="dxa"/>
            <w:tcBorders>
              <w:top w:val="single" w:sz="6" w:space="0" w:color="000000"/>
              <w:left w:val="single" w:sz="6" w:space="0" w:color="000000"/>
              <w:bottom w:val="single" w:sz="6" w:space="0" w:color="000000"/>
              <w:right w:val="single" w:sz="6" w:space="0" w:color="000000"/>
            </w:tcBorders>
            <w:hideMark/>
          </w:tcPr>
          <w:p w14:paraId="44A956A0"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4</w:t>
            </w:r>
          </w:p>
        </w:tc>
        <w:tc>
          <w:tcPr>
            <w:tcW w:w="1276" w:type="dxa"/>
            <w:tcBorders>
              <w:top w:val="single" w:sz="6" w:space="0" w:color="000000"/>
              <w:left w:val="single" w:sz="6" w:space="0" w:color="000000"/>
              <w:bottom w:val="single" w:sz="6" w:space="0" w:color="000000"/>
              <w:right w:val="single" w:sz="6" w:space="0" w:color="000000"/>
            </w:tcBorders>
            <w:hideMark/>
          </w:tcPr>
          <w:p w14:paraId="2F6D0FB8"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5</w:t>
            </w:r>
          </w:p>
        </w:tc>
        <w:tc>
          <w:tcPr>
            <w:tcW w:w="2126" w:type="dxa"/>
            <w:tcBorders>
              <w:top w:val="single" w:sz="6" w:space="0" w:color="000000"/>
              <w:left w:val="single" w:sz="6" w:space="0" w:color="000000"/>
              <w:bottom w:val="single" w:sz="6" w:space="0" w:color="000000"/>
              <w:right w:val="single" w:sz="6" w:space="0" w:color="000000"/>
            </w:tcBorders>
            <w:hideMark/>
          </w:tcPr>
          <w:p w14:paraId="0600C649"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Satisfactory</w:t>
            </w:r>
          </w:p>
        </w:tc>
      </w:tr>
      <w:tr w:rsidR="007C43D3" w:rsidRPr="00CF3172" w14:paraId="28F9D49B" w14:textId="77777777" w:rsidTr="007C43D3">
        <w:trPr>
          <w:trHeight w:hRule="exact" w:val="452"/>
        </w:trPr>
        <w:tc>
          <w:tcPr>
            <w:tcW w:w="1276" w:type="dxa"/>
            <w:tcBorders>
              <w:top w:val="single" w:sz="6" w:space="0" w:color="000000"/>
              <w:left w:val="single" w:sz="6" w:space="0" w:color="000000"/>
              <w:bottom w:val="single" w:sz="6" w:space="0" w:color="000000"/>
              <w:right w:val="single" w:sz="6" w:space="0" w:color="000000"/>
            </w:tcBorders>
            <w:hideMark/>
          </w:tcPr>
          <w:p w14:paraId="78FB2757"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6</w:t>
            </w:r>
          </w:p>
        </w:tc>
        <w:tc>
          <w:tcPr>
            <w:tcW w:w="1276" w:type="dxa"/>
            <w:tcBorders>
              <w:top w:val="single" w:sz="6" w:space="0" w:color="000000"/>
              <w:left w:val="single" w:sz="6" w:space="0" w:color="000000"/>
              <w:bottom w:val="single" w:sz="6" w:space="0" w:color="000000"/>
              <w:right w:val="single" w:sz="6" w:space="0" w:color="000000"/>
            </w:tcBorders>
            <w:hideMark/>
          </w:tcPr>
          <w:p w14:paraId="56211D47"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7</w:t>
            </w:r>
          </w:p>
        </w:tc>
        <w:tc>
          <w:tcPr>
            <w:tcW w:w="2126" w:type="dxa"/>
            <w:tcBorders>
              <w:top w:val="single" w:sz="6" w:space="0" w:color="000000"/>
              <w:left w:val="single" w:sz="6" w:space="0" w:color="000000"/>
              <w:bottom w:val="single" w:sz="6" w:space="0" w:color="000000"/>
              <w:right w:val="single" w:sz="6" w:space="0" w:color="000000"/>
            </w:tcBorders>
            <w:hideMark/>
          </w:tcPr>
          <w:p w14:paraId="4F6D238E"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Good</w:t>
            </w:r>
          </w:p>
        </w:tc>
      </w:tr>
      <w:tr w:rsidR="007C43D3" w:rsidRPr="00CF3172" w14:paraId="4476F2DE" w14:textId="77777777" w:rsidTr="007C43D3">
        <w:trPr>
          <w:trHeight w:hRule="exact" w:val="443"/>
        </w:trPr>
        <w:tc>
          <w:tcPr>
            <w:tcW w:w="1276" w:type="dxa"/>
            <w:tcBorders>
              <w:top w:val="single" w:sz="6" w:space="0" w:color="000000"/>
              <w:left w:val="single" w:sz="6" w:space="0" w:color="000000"/>
              <w:bottom w:val="single" w:sz="6" w:space="0" w:color="000000"/>
              <w:right w:val="single" w:sz="6" w:space="0" w:color="000000"/>
            </w:tcBorders>
            <w:hideMark/>
          </w:tcPr>
          <w:p w14:paraId="135E05DE"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8</w:t>
            </w:r>
          </w:p>
        </w:tc>
        <w:tc>
          <w:tcPr>
            <w:tcW w:w="1276" w:type="dxa"/>
            <w:tcBorders>
              <w:top w:val="single" w:sz="6" w:space="0" w:color="000000"/>
              <w:left w:val="single" w:sz="6" w:space="0" w:color="000000"/>
              <w:bottom w:val="single" w:sz="6" w:space="0" w:color="000000"/>
              <w:right w:val="single" w:sz="6" w:space="0" w:color="000000"/>
            </w:tcBorders>
            <w:hideMark/>
          </w:tcPr>
          <w:p w14:paraId="1913DB09"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10</w:t>
            </w:r>
          </w:p>
        </w:tc>
        <w:tc>
          <w:tcPr>
            <w:tcW w:w="2126" w:type="dxa"/>
            <w:tcBorders>
              <w:top w:val="single" w:sz="6" w:space="0" w:color="000000"/>
              <w:left w:val="single" w:sz="6" w:space="0" w:color="000000"/>
              <w:bottom w:val="single" w:sz="6" w:space="0" w:color="000000"/>
              <w:right w:val="single" w:sz="6" w:space="0" w:color="000000"/>
            </w:tcBorders>
            <w:hideMark/>
          </w:tcPr>
          <w:p w14:paraId="29C6A364" w14:textId="77777777" w:rsidR="007C43D3" w:rsidRPr="00CF3172" w:rsidRDefault="007C43D3" w:rsidP="00D219AC">
            <w:pPr>
              <w:pStyle w:val="affffd"/>
              <w:shd w:val="clear" w:color="auto" w:fill="FFFFFF"/>
              <w:spacing w:before="0" w:beforeAutospacing="0" w:after="0" w:afterAutospacing="0"/>
              <w:jc w:val="center"/>
              <w:rPr>
                <w:color w:val="000000"/>
                <w:lang w:val="en-US"/>
              </w:rPr>
            </w:pPr>
            <w:r w:rsidRPr="00CF3172">
              <w:rPr>
                <w:color w:val="000000"/>
                <w:lang w:val="en-US"/>
              </w:rPr>
              <w:t>Excellent</w:t>
            </w:r>
          </w:p>
        </w:tc>
      </w:tr>
    </w:tbl>
    <w:p w14:paraId="76ECCBB9" w14:textId="77777777" w:rsidR="008F489F" w:rsidRDefault="008F489F" w:rsidP="00D219AC">
      <w:pPr>
        <w:pStyle w:val="affffd"/>
        <w:shd w:val="clear" w:color="auto" w:fill="FFFFFF"/>
        <w:spacing w:before="0" w:beforeAutospacing="0" w:after="0" w:afterAutospacing="0"/>
        <w:jc w:val="both"/>
        <w:rPr>
          <w:color w:val="000000"/>
          <w:lang w:val="en-US"/>
        </w:rPr>
      </w:pPr>
    </w:p>
    <w:p w14:paraId="1C529036" w14:textId="77777777" w:rsidR="00836D59" w:rsidRPr="00CF3172" w:rsidRDefault="00836D59" w:rsidP="00D219AC">
      <w:pPr>
        <w:pStyle w:val="affffd"/>
        <w:spacing w:before="0" w:beforeAutospacing="0" w:after="0" w:afterAutospacing="0"/>
        <w:jc w:val="both"/>
        <w:rPr>
          <w:color w:val="000000"/>
          <w:lang w:val="en-US"/>
        </w:rPr>
      </w:pPr>
    </w:p>
    <w:p w14:paraId="26731C98" w14:textId="240583AB" w:rsidR="00026D4B" w:rsidRPr="00CF3172" w:rsidRDefault="00CF3172" w:rsidP="00D219AC">
      <w:pPr>
        <w:pStyle w:val="affffd"/>
        <w:numPr>
          <w:ilvl w:val="0"/>
          <w:numId w:val="17"/>
        </w:numPr>
        <w:shd w:val="clear" w:color="auto" w:fill="FFFFFF"/>
        <w:spacing w:before="0" w:beforeAutospacing="0" w:after="0" w:afterAutospacing="0"/>
        <w:ind w:left="0" w:firstLine="0"/>
        <w:jc w:val="center"/>
        <w:textAlignment w:val="baseline"/>
        <w:rPr>
          <w:b/>
          <w:bCs/>
          <w:color w:val="000000"/>
        </w:rPr>
      </w:pPr>
      <w:r w:rsidRPr="00CF3172">
        <w:rPr>
          <w:b/>
          <w:bCs/>
          <w:color w:val="000000"/>
          <w:lang w:val="en-US"/>
        </w:rPr>
        <w:t>Recommended reading</w:t>
      </w:r>
    </w:p>
    <w:p w14:paraId="291CB6CE" w14:textId="77777777" w:rsidR="007C43D3" w:rsidRPr="00CF3172" w:rsidRDefault="007C43D3" w:rsidP="00D219AC">
      <w:pPr>
        <w:pStyle w:val="affffd"/>
        <w:shd w:val="clear" w:color="auto" w:fill="FFFFFF"/>
        <w:spacing w:before="0" w:beforeAutospacing="0" w:after="0" w:afterAutospacing="0"/>
        <w:textAlignment w:val="baseline"/>
        <w:rPr>
          <w:b/>
          <w:bCs/>
          <w:color w:val="000000"/>
        </w:rPr>
      </w:pPr>
    </w:p>
    <w:p w14:paraId="4D9DD088" w14:textId="22EB13C9" w:rsidR="00026D4B" w:rsidRPr="008F489F" w:rsidRDefault="008F489F" w:rsidP="008F489F">
      <w:pPr>
        <w:pStyle w:val="affffd"/>
        <w:shd w:val="clear" w:color="auto" w:fill="FFFFFF"/>
        <w:spacing w:before="0" w:beforeAutospacing="0" w:after="0" w:afterAutospacing="0"/>
        <w:jc w:val="both"/>
        <w:textAlignment w:val="baseline"/>
        <w:rPr>
          <w:b/>
          <w:bCs/>
          <w:color w:val="000000"/>
          <w:lang w:val="en-US"/>
        </w:rPr>
      </w:pPr>
      <w:r w:rsidRPr="008F489F">
        <w:rPr>
          <w:b/>
          <w:bCs/>
          <w:color w:val="000000"/>
          <w:lang w:val="en-US"/>
        </w:rPr>
        <w:t>E</w:t>
      </w:r>
      <w:r w:rsidR="00836D59" w:rsidRPr="008F489F">
        <w:rPr>
          <w:b/>
          <w:bCs/>
          <w:color w:val="000000"/>
          <w:lang w:val="en-US"/>
        </w:rPr>
        <w:t>ssential reading</w:t>
      </w:r>
    </w:p>
    <w:p w14:paraId="7E12510E" w14:textId="77777777" w:rsidR="008F489F" w:rsidRPr="00CF3172" w:rsidRDefault="008F489F" w:rsidP="008F489F">
      <w:pPr>
        <w:pStyle w:val="affffd"/>
        <w:shd w:val="clear" w:color="auto" w:fill="FFFFFF"/>
        <w:spacing w:before="0" w:beforeAutospacing="0" w:after="0" w:afterAutospacing="0"/>
        <w:jc w:val="both"/>
        <w:textAlignment w:val="baseline"/>
        <w:rPr>
          <w:b/>
          <w:bCs/>
          <w:color w:val="000000"/>
        </w:rPr>
      </w:pPr>
    </w:p>
    <w:tbl>
      <w:tblPr>
        <w:tblW w:w="9781" w:type="dxa"/>
        <w:tblInd w:w="-5" w:type="dxa"/>
        <w:tblCellMar>
          <w:top w:w="15" w:type="dxa"/>
          <w:left w:w="15" w:type="dxa"/>
          <w:bottom w:w="15" w:type="dxa"/>
          <w:right w:w="15" w:type="dxa"/>
        </w:tblCellMar>
        <w:tblLook w:val="04A0" w:firstRow="1" w:lastRow="0" w:firstColumn="1" w:lastColumn="0" w:noHBand="0" w:noVBand="1"/>
      </w:tblPr>
      <w:tblGrid>
        <w:gridCol w:w="993"/>
        <w:gridCol w:w="8788"/>
      </w:tblGrid>
      <w:tr w:rsidR="00836D59" w:rsidRPr="00CF3172" w14:paraId="442B30AE" w14:textId="77777777" w:rsidTr="00836D59">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55C720" w14:textId="77777777" w:rsidR="00026D4B" w:rsidRPr="00CF3172" w:rsidRDefault="00836D59" w:rsidP="00D219AC">
            <w:pPr>
              <w:spacing w:line="240" w:lineRule="auto"/>
              <w:ind w:firstLine="0"/>
              <w:jc w:val="center"/>
              <w:rPr>
                <w:b/>
                <w:bCs/>
                <w:sz w:val="24"/>
                <w:szCs w:val="24"/>
                <w:lang w:val="en-US"/>
              </w:rPr>
            </w:pPr>
            <w:r w:rsidRPr="00CF3172">
              <w:rPr>
                <w:b/>
                <w:bCs/>
                <w:sz w:val="24"/>
                <w:szCs w:val="24"/>
                <w:lang w:val="en-US"/>
              </w:rPr>
              <w:t>#</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C4E8AD" w14:textId="77777777" w:rsidR="00026D4B" w:rsidRPr="00CF3172" w:rsidRDefault="00836D59" w:rsidP="00D219AC">
            <w:pPr>
              <w:pStyle w:val="affffd"/>
              <w:spacing w:before="0" w:beforeAutospacing="0" w:after="0" w:afterAutospacing="0"/>
              <w:ind w:right="-60"/>
              <w:jc w:val="center"/>
              <w:rPr>
                <w:lang w:val="en-US"/>
              </w:rPr>
            </w:pPr>
            <w:r w:rsidRPr="00CF3172">
              <w:rPr>
                <w:b/>
                <w:bCs/>
                <w:color w:val="000000"/>
                <w:lang w:val="en-US"/>
              </w:rPr>
              <w:t>Title</w:t>
            </w:r>
          </w:p>
          <w:p w14:paraId="281EE45B" w14:textId="77777777" w:rsidR="00026D4B" w:rsidRPr="00CF3172" w:rsidRDefault="00026D4B" w:rsidP="00D219AC">
            <w:pPr>
              <w:spacing w:line="240" w:lineRule="auto"/>
              <w:ind w:right="-60" w:firstLine="709"/>
              <w:rPr>
                <w:sz w:val="24"/>
                <w:szCs w:val="24"/>
              </w:rPr>
            </w:pPr>
          </w:p>
        </w:tc>
      </w:tr>
      <w:tr w:rsidR="00836D59" w:rsidRPr="00CF3172" w14:paraId="6D9CC8E6" w14:textId="77777777" w:rsidTr="00836D59">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7F750D6" w14:textId="77777777" w:rsidR="00026D4B" w:rsidRPr="00CF3172" w:rsidRDefault="00026D4B" w:rsidP="00D219AC">
            <w:pPr>
              <w:spacing w:line="240" w:lineRule="auto"/>
              <w:ind w:firstLine="0"/>
              <w:jc w:val="center"/>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5E50279" w14:textId="77777777" w:rsidR="00026D4B" w:rsidRPr="00CF3172" w:rsidRDefault="00026D4B" w:rsidP="00D219AC">
            <w:pPr>
              <w:spacing w:line="240" w:lineRule="auto"/>
              <w:ind w:right="-60" w:firstLine="709"/>
              <w:rPr>
                <w:sz w:val="24"/>
                <w:szCs w:val="24"/>
              </w:rPr>
            </w:pPr>
          </w:p>
        </w:tc>
      </w:tr>
      <w:tr w:rsidR="00836D59" w:rsidRPr="00CF3172" w14:paraId="74FBBFF0" w14:textId="77777777" w:rsidTr="00836D59">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D423F4"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F741FFC" w14:textId="443CE145" w:rsidR="00836D59" w:rsidRPr="00CF3172" w:rsidRDefault="00836D59" w:rsidP="00D219AC">
            <w:pPr>
              <w:spacing w:line="240" w:lineRule="auto"/>
              <w:ind w:right="-60" w:firstLine="0"/>
              <w:rPr>
                <w:sz w:val="24"/>
                <w:szCs w:val="24"/>
                <w:lang w:val="en-US"/>
              </w:rPr>
            </w:pPr>
            <w:r w:rsidRPr="00CF3172">
              <w:rPr>
                <w:sz w:val="24"/>
                <w:szCs w:val="24"/>
                <w:lang w:val="en-US"/>
              </w:rPr>
              <w:t xml:space="preserve">Jonathan Berk, Peter </w:t>
            </w:r>
            <w:proofErr w:type="spellStart"/>
            <w:r w:rsidRPr="00CF3172">
              <w:rPr>
                <w:sz w:val="24"/>
                <w:szCs w:val="24"/>
                <w:lang w:val="en-US"/>
              </w:rPr>
              <w:t>DeMarzo</w:t>
            </w:r>
            <w:proofErr w:type="spellEnd"/>
            <w:r w:rsidRPr="00CF3172">
              <w:rPr>
                <w:sz w:val="24"/>
                <w:szCs w:val="24"/>
                <w:lang w:val="en-US"/>
              </w:rPr>
              <w:t xml:space="preserve"> (B&amp;D). Corporate Finance. </w:t>
            </w:r>
            <w:r w:rsidRPr="00CF3172">
              <w:rPr>
                <w:bCs/>
                <w:sz w:val="24"/>
                <w:szCs w:val="24"/>
                <w:shd w:val="clear" w:color="auto" w:fill="FFFFFF"/>
                <w:lang w:val="en-US"/>
              </w:rPr>
              <w:t>Pearson</w:t>
            </w:r>
            <w:r w:rsidRPr="00CF3172">
              <w:rPr>
                <w:sz w:val="24"/>
                <w:szCs w:val="24"/>
                <w:lang w:val="en-US"/>
              </w:rPr>
              <w:t xml:space="preserve">: </w:t>
            </w:r>
            <w:r w:rsidR="001F6184" w:rsidRPr="00CF3172">
              <w:rPr>
                <w:sz w:val="24"/>
                <w:szCs w:val="24"/>
                <w:lang w:val="en-US"/>
              </w:rPr>
              <w:t>5th</w:t>
            </w:r>
            <w:r w:rsidRPr="00CF3172">
              <w:rPr>
                <w:sz w:val="24"/>
                <w:szCs w:val="24"/>
                <w:lang w:val="en-US"/>
              </w:rPr>
              <w:t xml:space="preserve"> edition, 20</w:t>
            </w:r>
            <w:r w:rsidR="001F6184" w:rsidRPr="00CF3172">
              <w:rPr>
                <w:sz w:val="24"/>
                <w:szCs w:val="24"/>
                <w:lang w:val="en-US"/>
              </w:rPr>
              <w:t>20</w:t>
            </w:r>
          </w:p>
        </w:tc>
      </w:tr>
      <w:tr w:rsidR="001F6184" w:rsidRPr="00CF3172" w14:paraId="72F89C02" w14:textId="77777777" w:rsidTr="00836D59">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54BD37" w14:textId="4685E812" w:rsidR="001F6184" w:rsidRPr="00CF3172" w:rsidRDefault="001F6184" w:rsidP="00D219AC">
            <w:pPr>
              <w:spacing w:line="240" w:lineRule="auto"/>
              <w:ind w:firstLine="0"/>
              <w:jc w:val="center"/>
              <w:rPr>
                <w:sz w:val="24"/>
                <w:szCs w:val="24"/>
                <w:lang w:val="en-US"/>
              </w:rPr>
            </w:pPr>
            <w:r w:rsidRPr="00CF3172">
              <w:rPr>
                <w:sz w:val="24"/>
                <w:szCs w:val="24"/>
                <w:lang w:val="en-US"/>
              </w:rPr>
              <w:t>2</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EBA3D3" w14:textId="56D195C5" w:rsidR="001F6184" w:rsidRPr="00CF3172" w:rsidRDefault="001F6184" w:rsidP="00D219AC">
            <w:pPr>
              <w:spacing w:line="240" w:lineRule="auto"/>
              <w:ind w:right="-60" w:firstLine="0"/>
              <w:rPr>
                <w:sz w:val="24"/>
                <w:szCs w:val="24"/>
                <w:lang w:val="en-US"/>
              </w:rPr>
            </w:pPr>
            <w:r w:rsidRPr="00CF3172">
              <w:rPr>
                <w:sz w:val="24"/>
                <w:szCs w:val="24"/>
                <w:lang w:val="en-US"/>
              </w:rPr>
              <w:t xml:space="preserve">Pierre </w:t>
            </w:r>
            <w:proofErr w:type="spellStart"/>
            <w:r w:rsidRPr="00CF3172">
              <w:rPr>
                <w:sz w:val="24"/>
                <w:szCs w:val="24"/>
                <w:lang w:val="en-US"/>
              </w:rPr>
              <w:t>Vernimmen</w:t>
            </w:r>
            <w:proofErr w:type="spellEnd"/>
            <w:r w:rsidRPr="00CF3172">
              <w:rPr>
                <w:sz w:val="24"/>
                <w:szCs w:val="24"/>
                <w:lang w:val="en-US"/>
              </w:rPr>
              <w:t xml:space="preserve">, Pascal </w:t>
            </w:r>
            <w:proofErr w:type="spellStart"/>
            <w:r w:rsidRPr="00CF3172">
              <w:rPr>
                <w:sz w:val="24"/>
                <w:szCs w:val="24"/>
                <w:lang w:val="en-US"/>
              </w:rPr>
              <w:t>Quiry</w:t>
            </w:r>
            <w:proofErr w:type="spellEnd"/>
            <w:r w:rsidRPr="00CF3172">
              <w:rPr>
                <w:sz w:val="24"/>
                <w:szCs w:val="24"/>
                <w:lang w:val="en-US"/>
              </w:rPr>
              <w:t xml:space="preserve">, Maurizio </w:t>
            </w:r>
            <w:proofErr w:type="spellStart"/>
            <w:r w:rsidRPr="00CF3172">
              <w:rPr>
                <w:sz w:val="24"/>
                <w:szCs w:val="24"/>
                <w:lang w:val="en-US"/>
              </w:rPr>
              <w:t>Dallocchio</w:t>
            </w:r>
            <w:proofErr w:type="spellEnd"/>
            <w:r w:rsidRPr="00CF3172">
              <w:rPr>
                <w:sz w:val="24"/>
                <w:szCs w:val="24"/>
                <w:lang w:val="en-US"/>
              </w:rPr>
              <w:t>, Yann Le Fur, and Antonio Salvi (V&amp;Q). Corporate Finance: Theory and Practice. Wiley: 5th edition, 2017</w:t>
            </w:r>
          </w:p>
        </w:tc>
      </w:tr>
    </w:tbl>
    <w:p w14:paraId="78FF5FA2" w14:textId="7F8C1834" w:rsidR="008F489F" w:rsidRDefault="00026D4B" w:rsidP="00D219AC">
      <w:pPr>
        <w:pStyle w:val="affffd"/>
        <w:shd w:val="clear" w:color="auto" w:fill="FFFFFF"/>
        <w:spacing w:before="0" w:beforeAutospacing="0" w:after="0" w:afterAutospacing="0"/>
        <w:jc w:val="both"/>
        <w:rPr>
          <w:lang w:val="en-US"/>
        </w:rPr>
      </w:pPr>
      <w:r w:rsidRPr="00CF3172">
        <w:rPr>
          <w:lang w:val="en-US"/>
        </w:rPr>
        <w:t> </w:t>
      </w:r>
    </w:p>
    <w:p w14:paraId="3C898232" w14:textId="77777777" w:rsidR="008F489F" w:rsidRDefault="008F489F">
      <w:pPr>
        <w:spacing w:after="200" w:line="276" w:lineRule="auto"/>
        <w:ind w:firstLine="0"/>
        <w:jc w:val="left"/>
        <w:rPr>
          <w:sz w:val="24"/>
          <w:szCs w:val="24"/>
          <w:lang w:val="en-US"/>
        </w:rPr>
      </w:pPr>
      <w:r>
        <w:rPr>
          <w:lang w:val="en-US"/>
        </w:rPr>
        <w:br w:type="page"/>
      </w:r>
    </w:p>
    <w:p w14:paraId="7804B705" w14:textId="53BA6787" w:rsidR="00026D4B" w:rsidRPr="008F489F" w:rsidRDefault="008F489F" w:rsidP="008F489F">
      <w:pPr>
        <w:pStyle w:val="affffd"/>
        <w:shd w:val="clear" w:color="auto" w:fill="FFFFFF"/>
        <w:spacing w:before="0" w:beforeAutospacing="0" w:after="0" w:afterAutospacing="0"/>
        <w:jc w:val="both"/>
        <w:textAlignment w:val="baseline"/>
        <w:rPr>
          <w:b/>
          <w:bCs/>
          <w:color w:val="000000"/>
          <w:lang w:val="en-US"/>
        </w:rPr>
      </w:pPr>
      <w:r w:rsidRPr="008F489F">
        <w:rPr>
          <w:b/>
          <w:bCs/>
          <w:color w:val="000000"/>
          <w:lang w:val="en-US"/>
        </w:rPr>
        <w:lastRenderedPageBreak/>
        <w:t>S</w:t>
      </w:r>
      <w:r w:rsidR="00836D59" w:rsidRPr="008F489F">
        <w:rPr>
          <w:b/>
          <w:bCs/>
          <w:color w:val="000000"/>
          <w:lang w:val="en-US"/>
        </w:rPr>
        <w:t>upplementary reading</w:t>
      </w:r>
    </w:p>
    <w:p w14:paraId="2A3612D0" w14:textId="77777777" w:rsidR="008F489F" w:rsidRPr="00CF3172" w:rsidRDefault="008F489F" w:rsidP="008F489F">
      <w:pPr>
        <w:pStyle w:val="affffd"/>
        <w:shd w:val="clear" w:color="auto" w:fill="FFFFFF"/>
        <w:spacing w:before="0" w:beforeAutospacing="0" w:after="0" w:afterAutospacing="0"/>
        <w:jc w:val="both"/>
        <w:textAlignment w:val="baseline"/>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8788"/>
      </w:tblGrid>
      <w:tr w:rsidR="00836D59" w:rsidRPr="00CF3172" w14:paraId="0045F080"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EE2DAE" w14:textId="77777777" w:rsidR="00836D59" w:rsidRPr="00CF3172" w:rsidRDefault="00836D59" w:rsidP="00D219AC">
            <w:pPr>
              <w:spacing w:line="240" w:lineRule="auto"/>
              <w:ind w:firstLine="0"/>
              <w:jc w:val="center"/>
              <w:rPr>
                <w:b/>
                <w:bCs/>
                <w:sz w:val="24"/>
                <w:szCs w:val="24"/>
                <w:lang w:val="en-US"/>
              </w:rPr>
            </w:pPr>
            <w:r w:rsidRPr="00CF3172">
              <w:rPr>
                <w:b/>
                <w:bCs/>
                <w:sz w:val="24"/>
                <w:szCs w:val="24"/>
                <w:lang w:val="en-US"/>
              </w:rPr>
              <w:t>#</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5796" w14:textId="77777777" w:rsidR="00836D59" w:rsidRPr="00CF3172" w:rsidRDefault="00836D59" w:rsidP="00D219AC">
            <w:pPr>
              <w:spacing w:line="240" w:lineRule="auto"/>
              <w:ind w:firstLine="0"/>
              <w:jc w:val="center"/>
              <w:rPr>
                <w:b/>
                <w:bCs/>
                <w:sz w:val="24"/>
                <w:szCs w:val="24"/>
                <w:lang w:val="en-US"/>
              </w:rPr>
            </w:pPr>
            <w:r w:rsidRPr="00CF3172">
              <w:rPr>
                <w:b/>
                <w:bCs/>
                <w:sz w:val="24"/>
                <w:szCs w:val="24"/>
                <w:lang w:val="en-US"/>
              </w:rPr>
              <w:t>Title</w:t>
            </w:r>
          </w:p>
          <w:p w14:paraId="463BD422" w14:textId="77777777" w:rsidR="00836D59" w:rsidRPr="00CF3172" w:rsidRDefault="00836D59" w:rsidP="00D219AC">
            <w:pPr>
              <w:spacing w:line="240" w:lineRule="auto"/>
              <w:ind w:firstLine="0"/>
              <w:jc w:val="center"/>
              <w:rPr>
                <w:b/>
                <w:bCs/>
                <w:sz w:val="24"/>
                <w:szCs w:val="24"/>
                <w:lang w:val="en-US"/>
              </w:rPr>
            </w:pPr>
          </w:p>
        </w:tc>
      </w:tr>
      <w:tr w:rsidR="00026D4B" w:rsidRPr="00CF3172" w14:paraId="3B9C9184"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628114E" w14:textId="77777777" w:rsidR="00026D4B" w:rsidRPr="00CF3172" w:rsidRDefault="00026D4B" w:rsidP="00D219AC">
            <w:pPr>
              <w:spacing w:line="240" w:lineRule="auto"/>
              <w:ind w:firstLine="0"/>
              <w:jc w:val="center"/>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A2C96A9" w14:textId="77777777" w:rsidR="00026D4B" w:rsidRPr="00CF3172" w:rsidRDefault="00026D4B" w:rsidP="00D219AC">
            <w:pPr>
              <w:spacing w:line="240" w:lineRule="auto"/>
              <w:ind w:firstLine="0"/>
              <w:rPr>
                <w:sz w:val="24"/>
                <w:szCs w:val="24"/>
                <w:lang w:val="en-US"/>
              </w:rPr>
            </w:pPr>
          </w:p>
        </w:tc>
      </w:tr>
      <w:tr w:rsidR="00836D59" w:rsidRPr="00CF3172" w14:paraId="4C65A224"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08742DD"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1CD008" w14:textId="77777777" w:rsidR="00836D59" w:rsidRPr="00CF3172" w:rsidRDefault="00836D59" w:rsidP="00D219AC">
            <w:pPr>
              <w:spacing w:line="240" w:lineRule="auto"/>
              <w:ind w:firstLine="0"/>
              <w:rPr>
                <w:sz w:val="24"/>
                <w:szCs w:val="24"/>
                <w:lang w:val="en-US"/>
              </w:rPr>
            </w:pPr>
            <w:r w:rsidRPr="00CF3172">
              <w:rPr>
                <w:sz w:val="24"/>
                <w:szCs w:val="24"/>
                <w:lang w:val="en-US"/>
              </w:rPr>
              <w:t>Black, F., and Scholes, M. The Effects of Dividend Yield and Dividend Policy on Common Stock Prices and Returns. Journal of Financial Economics 1 (1974), pp. 1–22.</w:t>
            </w:r>
          </w:p>
        </w:tc>
      </w:tr>
      <w:tr w:rsidR="00836D59" w:rsidRPr="00CF3172" w14:paraId="31975B5A"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0A1F35"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2</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95C362F" w14:textId="77777777" w:rsidR="00836D59" w:rsidRPr="00CF3172" w:rsidRDefault="00836D59" w:rsidP="00D219AC">
            <w:pPr>
              <w:spacing w:line="240" w:lineRule="auto"/>
              <w:ind w:firstLine="0"/>
              <w:rPr>
                <w:sz w:val="24"/>
                <w:szCs w:val="24"/>
                <w:lang w:val="en-US"/>
              </w:rPr>
            </w:pPr>
            <w:r w:rsidRPr="00CF3172">
              <w:rPr>
                <w:sz w:val="24"/>
                <w:szCs w:val="24"/>
                <w:lang w:val="en-US"/>
              </w:rPr>
              <w:t>Richard Brealey, Stuart Myers (B&amp;M). Principles of Corporate Finance. McGraw Hill. 6</w:t>
            </w:r>
            <w:proofErr w:type="gramStart"/>
            <w:r w:rsidRPr="00CF3172">
              <w:rPr>
                <w:sz w:val="24"/>
                <w:szCs w:val="24"/>
                <w:lang w:val="en-US"/>
              </w:rPr>
              <w:t>th  Edition</w:t>
            </w:r>
            <w:proofErr w:type="gramEnd"/>
            <w:r w:rsidRPr="00CF3172">
              <w:rPr>
                <w:sz w:val="24"/>
                <w:szCs w:val="24"/>
                <w:lang w:val="en-US"/>
              </w:rPr>
              <w:t xml:space="preserve">. </w:t>
            </w:r>
          </w:p>
        </w:tc>
      </w:tr>
      <w:tr w:rsidR="00836D59" w:rsidRPr="00CF3172" w14:paraId="3DE22F1C"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9860F7"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3</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ECCB254" w14:textId="77777777" w:rsidR="00836D59" w:rsidRPr="00CF3172" w:rsidRDefault="00836D59" w:rsidP="00D219AC">
            <w:pPr>
              <w:spacing w:line="240" w:lineRule="auto"/>
              <w:ind w:firstLine="0"/>
              <w:rPr>
                <w:sz w:val="24"/>
                <w:szCs w:val="24"/>
                <w:lang w:val="en-US"/>
              </w:rPr>
            </w:pPr>
            <w:r w:rsidRPr="00CF3172">
              <w:rPr>
                <w:sz w:val="24"/>
                <w:szCs w:val="24"/>
                <w:lang w:val="en-US"/>
              </w:rPr>
              <w:t>Grossman, S., and Hart, O. Takeover bids, the free rider problem, and the theory of the corporation, Bell Journal of Economics 11 (1980), 42-64.</w:t>
            </w:r>
          </w:p>
        </w:tc>
      </w:tr>
      <w:tr w:rsidR="00836D59" w:rsidRPr="00CF3172" w14:paraId="3EC29F8B"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3622E9"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4</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E6010A" w14:textId="77777777" w:rsidR="00836D59" w:rsidRPr="00CF3172" w:rsidRDefault="00836D59" w:rsidP="00D219AC">
            <w:pPr>
              <w:spacing w:line="240" w:lineRule="auto"/>
              <w:ind w:firstLine="0"/>
              <w:rPr>
                <w:sz w:val="24"/>
                <w:szCs w:val="24"/>
                <w:lang w:val="en-US"/>
              </w:rPr>
            </w:pPr>
            <w:r w:rsidRPr="00CF3172">
              <w:rPr>
                <w:sz w:val="24"/>
                <w:szCs w:val="24"/>
                <w:lang w:val="en-US"/>
              </w:rPr>
              <w:t xml:space="preserve">Jensen, M., and </w:t>
            </w:r>
            <w:proofErr w:type="spellStart"/>
            <w:r w:rsidRPr="00CF3172">
              <w:rPr>
                <w:sz w:val="24"/>
                <w:szCs w:val="24"/>
                <w:lang w:val="en-US"/>
              </w:rPr>
              <w:t>Meckling</w:t>
            </w:r>
            <w:proofErr w:type="spellEnd"/>
            <w:r w:rsidRPr="00CF3172">
              <w:rPr>
                <w:sz w:val="24"/>
                <w:szCs w:val="24"/>
                <w:lang w:val="en-US"/>
              </w:rPr>
              <w:t>, W. Theory of the firm: Managerial behavior, agency costs and ownership structure, Journal of Financial Economics, (1976), 305-360.</w:t>
            </w:r>
          </w:p>
        </w:tc>
      </w:tr>
      <w:tr w:rsidR="00836D59" w:rsidRPr="00CF3172" w14:paraId="4F0C75EB"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B6F7934"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5</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899457" w14:textId="77777777" w:rsidR="00836D59" w:rsidRPr="00CF3172" w:rsidRDefault="00836D59" w:rsidP="00D219AC">
            <w:pPr>
              <w:spacing w:line="240" w:lineRule="auto"/>
              <w:ind w:firstLine="0"/>
              <w:rPr>
                <w:sz w:val="24"/>
                <w:szCs w:val="24"/>
                <w:lang w:val="en-US"/>
              </w:rPr>
            </w:pPr>
            <w:proofErr w:type="spellStart"/>
            <w:r w:rsidRPr="00CF3172">
              <w:rPr>
                <w:sz w:val="24"/>
                <w:szCs w:val="24"/>
                <w:lang w:val="en-US"/>
              </w:rPr>
              <w:t>Litzenberger</w:t>
            </w:r>
            <w:proofErr w:type="spellEnd"/>
            <w:r w:rsidRPr="00CF3172">
              <w:rPr>
                <w:sz w:val="24"/>
                <w:szCs w:val="24"/>
                <w:lang w:val="en-US"/>
              </w:rPr>
              <w:t>, R., and Ramaswamy, K. The Effects of Dividends on Common Stock Prices: Tax Effects or Information Effects? Journal of Finance, no. 2 (1982), pp. 429–437.</w:t>
            </w:r>
          </w:p>
        </w:tc>
      </w:tr>
      <w:tr w:rsidR="00836D59" w:rsidRPr="00CF3172" w14:paraId="1B287ACD"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148792"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6</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AA1C5A8" w14:textId="77777777" w:rsidR="00836D59" w:rsidRPr="00CF3172" w:rsidRDefault="00836D59" w:rsidP="00D219AC">
            <w:pPr>
              <w:spacing w:line="240" w:lineRule="auto"/>
              <w:ind w:firstLine="0"/>
              <w:rPr>
                <w:sz w:val="24"/>
                <w:szCs w:val="24"/>
                <w:lang w:val="en-US"/>
              </w:rPr>
            </w:pPr>
            <w:r w:rsidRPr="00CF3172">
              <w:rPr>
                <w:sz w:val="24"/>
                <w:szCs w:val="24"/>
                <w:lang w:val="en-US"/>
              </w:rPr>
              <w:t>Modigliani, F., and Miller, M. The cost of capital, corporation finance and the theory of investment, American Economic Review, (1958), 261-297.</w:t>
            </w:r>
          </w:p>
        </w:tc>
      </w:tr>
      <w:tr w:rsidR="00836D59" w:rsidRPr="00CF3172" w14:paraId="35C1DC5C"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FBC9DC"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7</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7BF063" w14:textId="77777777" w:rsidR="00836D59" w:rsidRPr="00CF3172" w:rsidRDefault="00836D59" w:rsidP="00D219AC">
            <w:pPr>
              <w:spacing w:line="240" w:lineRule="auto"/>
              <w:ind w:firstLine="0"/>
              <w:rPr>
                <w:sz w:val="24"/>
                <w:szCs w:val="24"/>
                <w:lang w:val="en-US"/>
              </w:rPr>
            </w:pPr>
            <w:r w:rsidRPr="00CF3172">
              <w:rPr>
                <w:sz w:val="24"/>
                <w:szCs w:val="24"/>
                <w:lang w:val="en-US"/>
              </w:rPr>
              <w:t>Modigliani, F., and Miller, M. Corporate income taxes and the cost of capital, American Economic Review, 53 (June 1963), 433-443.</w:t>
            </w:r>
          </w:p>
        </w:tc>
      </w:tr>
      <w:tr w:rsidR="00836D59" w:rsidRPr="00CF3172" w14:paraId="60E3214B"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2F7974"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8</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D5354A5" w14:textId="77777777" w:rsidR="00836D59" w:rsidRPr="00CF3172" w:rsidRDefault="00836D59" w:rsidP="00D219AC">
            <w:pPr>
              <w:spacing w:line="240" w:lineRule="auto"/>
              <w:ind w:firstLine="0"/>
              <w:rPr>
                <w:sz w:val="24"/>
                <w:szCs w:val="24"/>
                <w:lang w:val="en-US"/>
              </w:rPr>
            </w:pPr>
            <w:r w:rsidRPr="00CF3172">
              <w:rPr>
                <w:sz w:val="24"/>
                <w:szCs w:val="24"/>
                <w:lang w:val="en-US"/>
              </w:rPr>
              <w:t>Miller, M. Debt and Taxes, Journal of Finance, (1977), 261-275.</w:t>
            </w:r>
          </w:p>
        </w:tc>
      </w:tr>
      <w:tr w:rsidR="00836D59" w:rsidRPr="00CF3172" w14:paraId="41E4BC42"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8134E8"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9</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BD76904" w14:textId="77777777" w:rsidR="00836D59" w:rsidRPr="00CF3172" w:rsidRDefault="00836D59" w:rsidP="00D219AC">
            <w:pPr>
              <w:spacing w:line="240" w:lineRule="auto"/>
              <w:ind w:firstLine="0"/>
              <w:rPr>
                <w:sz w:val="24"/>
                <w:szCs w:val="24"/>
                <w:lang w:val="en-US"/>
              </w:rPr>
            </w:pPr>
            <w:r w:rsidRPr="00CF3172">
              <w:rPr>
                <w:sz w:val="24"/>
                <w:szCs w:val="24"/>
                <w:lang w:val="en-US"/>
              </w:rPr>
              <w:t>Myers, S. The capital structure puzzle, Journal of Finance, 39 (1984), 575-592.</w:t>
            </w:r>
          </w:p>
        </w:tc>
      </w:tr>
      <w:tr w:rsidR="00836D59" w:rsidRPr="00CF3172" w14:paraId="5DCC986F"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F1708EA"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10</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1BDEA27" w14:textId="77777777" w:rsidR="00836D59" w:rsidRPr="00CF3172" w:rsidRDefault="00836D59" w:rsidP="00D219AC">
            <w:pPr>
              <w:spacing w:line="240" w:lineRule="auto"/>
              <w:ind w:firstLine="0"/>
              <w:rPr>
                <w:sz w:val="24"/>
                <w:szCs w:val="24"/>
                <w:lang w:val="en-US"/>
              </w:rPr>
            </w:pPr>
            <w:r w:rsidRPr="00CF3172">
              <w:rPr>
                <w:sz w:val="24"/>
                <w:szCs w:val="24"/>
                <w:lang w:val="en-US"/>
              </w:rPr>
              <w:t xml:space="preserve">Myers, S., and </w:t>
            </w:r>
            <w:proofErr w:type="spellStart"/>
            <w:r w:rsidRPr="00CF3172">
              <w:rPr>
                <w:sz w:val="24"/>
                <w:szCs w:val="24"/>
                <w:lang w:val="en-US"/>
              </w:rPr>
              <w:t>Majluf</w:t>
            </w:r>
            <w:proofErr w:type="spellEnd"/>
            <w:r w:rsidRPr="00CF3172">
              <w:rPr>
                <w:sz w:val="24"/>
                <w:szCs w:val="24"/>
                <w:lang w:val="en-US"/>
              </w:rPr>
              <w:t>, N. Corporate financing and investment decisions when firms have information that investors do not have, Journal of Financial Economics, 13, (1984), 187-221.</w:t>
            </w:r>
          </w:p>
        </w:tc>
      </w:tr>
      <w:tr w:rsidR="00836D59" w:rsidRPr="00CF3172" w14:paraId="4FC10505"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00B1FE"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11</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EB924AD" w14:textId="77777777" w:rsidR="00836D59" w:rsidRPr="00CF3172" w:rsidRDefault="00836D59" w:rsidP="00D219AC">
            <w:pPr>
              <w:spacing w:line="240" w:lineRule="auto"/>
              <w:ind w:firstLine="0"/>
              <w:rPr>
                <w:sz w:val="24"/>
                <w:szCs w:val="24"/>
                <w:lang w:val="en-US"/>
              </w:rPr>
            </w:pPr>
            <w:r w:rsidRPr="00CF3172">
              <w:rPr>
                <w:sz w:val="24"/>
                <w:szCs w:val="24"/>
                <w:lang w:val="en-US"/>
              </w:rPr>
              <w:t>Pettit, J. Is a Share Buyback Right for Your Company? Harvard Business Review, April 2001.</w:t>
            </w:r>
          </w:p>
        </w:tc>
      </w:tr>
      <w:tr w:rsidR="00836D59" w:rsidRPr="00CF3172" w14:paraId="5648039A"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AEA7A8A"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12</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6BE549" w14:textId="77777777" w:rsidR="00836D59" w:rsidRPr="00CF3172" w:rsidRDefault="00836D59" w:rsidP="00D219AC">
            <w:pPr>
              <w:spacing w:line="240" w:lineRule="auto"/>
              <w:ind w:firstLine="0"/>
              <w:rPr>
                <w:sz w:val="24"/>
                <w:szCs w:val="24"/>
                <w:lang w:val="en-US"/>
              </w:rPr>
            </w:pPr>
            <w:r w:rsidRPr="00CF3172">
              <w:rPr>
                <w:sz w:val="24"/>
                <w:szCs w:val="24"/>
                <w:lang w:val="en-US"/>
              </w:rPr>
              <w:t>Roll, R. The Hubris Hypothesis of Corporate Takeovers, Journal of Business, 59 (1986), 197-216.</w:t>
            </w:r>
          </w:p>
        </w:tc>
      </w:tr>
      <w:tr w:rsidR="00836D59" w:rsidRPr="00CF3172" w14:paraId="29937AB4" w14:textId="77777777" w:rsidTr="00836D59">
        <w:tc>
          <w:tcPr>
            <w:tcW w:w="9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BEFBDF" w14:textId="77777777" w:rsidR="00836D59" w:rsidRPr="00CF3172" w:rsidRDefault="00836D59" w:rsidP="00D219AC">
            <w:pPr>
              <w:spacing w:line="240" w:lineRule="auto"/>
              <w:ind w:firstLine="0"/>
              <w:jc w:val="center"/>
              <w:rPr>
                <w:sz w:val="24"/>
                <w:szCs w:val="24"/>
                <w:lang w:val="en-US"/>
              </w:rPr>
            </w:pPr>
            <w:r w:rsidRPr="00CF3172">
              <w:rPr>
                <w:sz w:val="24"/>
                <w:szCs w:val="24"/>
                <w:lang w:val="en-US"/>
              </w:rPr>
              <w:t>13</w:t>
            </w:r>
          </w:p>
        </w:tc>
        <w:tc>
          <w:tcPr>
            <w:tcW w:w="87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D15414" w14:textId="77777777" w:rsidR="00836D59" w:rsidRPr="00CF3172" w:rsidRDefault="00836D59" w:rsidP="00D219AC">
            <w:pPr>
              <w:spacing w:line="240" w:lineRule="auto"/>
              <w:ind w:firstLine="0"/>
              <w:rPr>
                <w:sz w:val="24"/>
                <w:szCs w:val="24"/>
                <w:lang w:val="en-US"/>
              </w:rPr>
            </w:pPr>
            <w:r w:rsidRPr="00CF3172">
              <w:rPr>
                <w:sz w:val="24"/>
                <w:szCs w:val="24"/>
                <w:lang w:val="en-US"/>
              </w:rPr>
              <w:t xml:space="preserve">Ross, S. The determination of financial structure: The incentive </w:t>
            </w:r>
            <w:proofErr w:type="spellStart"/>
            <w:r w:rsidRPr="00CF3172">
              <w:rPr>
                <w:sz w:val="24"/>
                <w:szCs w:val="24"/>
                <w:lang w:val="en-US"/>
              </w:rPr>
              <w:t>signalling</w:t>
            </w:r>
            <w:proofErr w:type="spellEnd"/>
            <w:r w:rsidRPr="00CF3172">
              <w:rPr>
                <w:sz w:val="24"/>
                <w:szCs w:val="24"/>
                <w:lang w:val="en-US"/>
              </w:rPr>
              <w:t xml:space="preserve"> approach, Bell Journal of Economics 8 (Spring 1977), 23-40.</w:t>
            </w:r>
          </w:p>
        </w:tc>
      </w:tr>
    </w:tbl>
    <w:p w14:paraId="19D7138D" w14:textId="416B9443" w:rsidR="008675CF" w:rsidRPr="00CF3172" w:rsidRDefault="008675CF" w:rsidP="00D219AC">
      <w:pPr>
        <w:pStyle w:val="affffd"/>
        <w:shd w:val="clear" w:color="auto" w:fill="FFFFFF"/>
        <w:spacing w:before="0" w:beforeAutospacing="0" w:after="0" w:afterAutospacing="0"/>
        <w:jc w:val="both"/>
        <w:rPr>
          <w:lang w:val="en-US"/>
        </w:rPr>
      </w:pPr>
    </w:p>
    <w:sectPr w:rsidR="008675CF" w:rsidRPr="00CF3172" w:rsidSect="008F489F">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CA91" w14:textId="77777777" w:rsidR="0049541C" w:rsidRDefault="0049541C" w:rsidP="00745935">
      <w:pPr>
        <w:spacing w:line="240" w:lineRule="auto"/>
      </w:pPr>
      <w:r>
        <w:separator/>
      </w:r>
    </w:p>
  </w:endnote>
  <w:endnote w:type="continuationSeparator" w:id="0">
    <w:p w14:paraId="15E51296" w14:textId="77777777" w:rsidR="0049541C" w:rsidRDefault="0049541C"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altName w:val="﷽﷽﷽﷽﷽﷽禑血ĝ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5241" w14:textId="77777777" w:rsidR="004E46A2" w:rsidRDefault="004E46A2" w:rsidP="008F489F">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06D878D5" w14:textId="77777777" w:rsidR="004E46A2" w:rsidRDefault="004E46A2">
    <w:pPr>
      <w:pStyle w:val="ae"/>
      <w:ind w:right="360"/>
    </w:pPr>
  </w:p>
  <w:p w14:paraId="39A0488A" w14:textId="77777777" w:rsidR="004E46A2" w:rsidRDefault="004E46A2"/>
  <w:p w14:paraId="550BA2B5" w14:textId="77777777" w:rsidR="004E46A2" w:rsidRDefault="004E46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sz w:val="24"/>
        <w:szCs w:val="24"/>
      </w:rPr>
      <w:id w:val="104627523"/>
      <w:docPartObj>
        <w:docPartGallery w:val="Page Numbers (Bottom of Page)"/>
        <w:docPartUnique/>
      </w:docPartObj>
    </w:sdtPr>
    <w:sdtContent>
      <w:p w14:paraId="21F64F3A" w14:textId="3CFFDDF6" w:rsidR="008F489F" w:rsidRPr="008F489F" w:rsidRDefault="008F489F" w:rsidP="00890A73">
        <w:pPr>
          <w:pStyle w:val="ae"/>
          <w:framePr w:wrap="none" w:vAnchor="text" w:hAnchor="margin" w:xAlign="center" w:y="1"/>
          <w:rPr>
            <w:rStyle w:val="af0"/>
            <w:sz w:val="24"/>
            <w:szCs w:val="24"/>
          </w:rPr>
        </w:pPr>
        <w:r w:rsidRPr="008F489F">
          <w:rPr>
            <w:rStyle w:val="af0"/>
            <w:sz w:val="24"/>
            <w:szCs w:val="24"/>
          </w:rPr>
          <w:fldChar w:fldCharType="begin"/>
        </w:r>
        <w:r w:rsidRPr="008F489F">
          <w:rPr>
            <w:rStyle w:val="af0"/>
            <w:sz w:val="24"/>
            <w:szCs w:val="24"/>
          </w:rPr>
          <w:instrText xml:space="preserve"> PAGE </w:instrText>
        </w:r>
        <w:r w:rsidRPr="008F489F">
          <w:rPr>
            <w:rStyle w:val="af0"/>
            <w:sz w:val="24"/>
            <w:szCs w:val="24"/>
          </w:rPr>
          <w:fldChar w:fldCharType="separate"/>
        </w:r>
        <w:r w:rsidRPr="008F489F">
          <w:rPr>
            <w:rStyle w:val="af0"/>
            <w:noProof/>
            <w:sz w:val="24"/>
            <w:szCs w:val="24"/>
          </w:rPr>
          <w:t>2</w:t>
        </w:r>
        <w:r w:rsidRPr="008F489F">
          <w:rPr>
            <w:rStyle w:val="af0"/>
            <w:sz w:val="24"/>
            <w:szCs w:val="24"/>
          </w:rPr>
          <w:fldChar w:fldCharType="end"/>
        </w:r>
      </w:p>
    </w:sdtContent>
  </w:sdt>
  <w:p w14:paraId="78F26613" w14:textId="77777777" w:rsidR="00CF3172" w:rsidRDefault="00CF317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9995" w14:textId="77777777" w:rsidR="0049541C" w:rsidRDefault="0049541C" w:rsidP="00745935">
      <w:pPr>
        <w:spacing w:line="240" w:lineRule="auto"/>
      </w:pPr>
      <w:r>
        <w:separator/>
      </w:r>
    </w:p>
  </w:footnote>
  <w:footnote w:type="continuationSeparator" w:id="0">
    <w:p w14:paraId="772BA664" w14:textId="77777777" w:rsidR="0049541C" w:rsidRDefault="0049541C"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9BA1" w14:textId="77777777" w:rsidR="004E46A2" w:rsidRDefault="004E46A2"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18A547D" w14:textId="77777777" w:rsidR="004E46A2" w:rsidRDefault="004E46A2">
    <w:pPr>
      <w:pStyle w:val="af1"/>
    </w:pPr>
  </w:p>
  <w:p w14:paraId="12D839EC" w14:textId="77777777" w:rsidR="004E46A2" w:rsidRDefault="004E46A2"/>
  <w:p w14:paraId="0C32C58A" w14:textId="77777777" w:rsidR="004E46A2" w:rsidRDefault="004E4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4" w15:restartNumberingAfterBreak="0">
    <w:nsid w:val="0679121F"/>
    <w:multiLevelType w:val="hybridMultilevel"/>
    <w:tmpl w:val="D9D0A33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7" w15:restartNumberingAfterBreak="0">
    <w:nsid w:val="11CF5E21"/>
    <w:multiLevelType w:val="hybridMultilevel"/>
    <w:tmpl w:val="BD5A9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15:restartNumberingAfterBreak="0">
    <w:nsid w:val="229327D5"/>
    <w:multiLevelType w:val="hybridMultilevel"/>
    <w:tmpl w:val="B1AC8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2E553AFA"/>
    <w:multiLevelType w:val="multilevel"/>
    <w:tmpl w:val="B798E270"/>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2"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5" w15:restartNumberingAfterBreak="0">
    <w:nsid w:val="3D0074E5"/>
    <w:multiLevelType w:val="hybridMultilevel"/>
    <w:tmpl w:val="9718E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2DC042D"/>
    <w:multiLevelType w:val="hybridMultilevel"/>
    <w:tmpl w:val="AC74611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577801"/>
    <w:multiLevelType w:val="hybridMultilevel"/>
    <w:tmpl w:val="1DE2C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num w:numId="1">
    <w:abstractNumId w:val="0"/>
  </w:num>
  <w:num w:numId="2">
    <w:abstractNumId w:val="13"/>
  </w:num>
  <w:num w:numId="3">
    <w:abstractNumId w:val="8"/>
  </w:num>
  <w:num w:numId="4">
    <w:abstractNumId w:val="22"/>
  </w:num>
  <w:num w:numId="5">
    <w:abstractNumId w:val="1"/>
  </w:num>
  <w:num w:numId="6">
    <w:abstractNumId w:val="14"/>
  </w:num>
  <w:num w:numId="7">
    <w:abstractNumId w:val="20"/>
  </w:num>
  <w:num w:numId="8">
    <w:abstractNumId w:val="3"/>
  </w:num>
  <w:num w:numId="9">
    <w:abstractNumId w:val="5"/>
  </w:num>
  <w:num w:numId="10">
    <w:abstractNumId w:val="18"/>
  </w:num>
  <w:num w:numId="11">
    <w:abstractNumId w:val="2"/>
  </w:num>
  <w:num w:numId="12">
    <w:abstractNumId w:val="16"/>
  </w:num>
  <w:num w:numId="13">
    <w:abstractNumId w:val="10"/>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4"/>
  </w:num>
  <w:num w:numId="19">
    <w:abstractNumId w:val="15"/>
  </w:num>
  <w:num w:numId="20">
    <w:abstractNumId w:val="7"/>
  </w:num>
  <w:num w:numId="21">
    <w:abstractNumId w:val="17"/>
  </w:num>
  <w:num w:numId="22">
    <w:abstractNumId w:val="21"/>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5"/>
    <w:rsid w:val="00005FE0"/>
    <w:rsid w:val="0000601E"/>
    <w:rsid w:val="00007321"/>
    <w:rsid w:val="00007370"/>
    <w:rsid w:val="00007E19"/>
    <w:rsid w:val="00011D6F"/>
    <w:rsid w:val="00013CFD"/>
    <w:rsid w:val="00014700"/>
    <w:rsid w:val="00014BA1"/>
    <w:rsid w:val="000240E9"/>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1AAF"/>
    <w:rsid w:val="001E53FE"/>
    <w:rsid w:val="001E5CCA"/>
    <w:rsid w:val="001E5D3C"/>
    <w:rsid w:val="001E7FB1"/>
    <w:rsid w:val="001F1040"/>
    <w:rsid w:val="001F1320"/>
    <w:rsid w:val="001F6184"/>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2003"/>
    <w:rsid w:val="002F3518"/>
    <w:rsid w:val="00312167"/>
    <w:rsid w:val="00312885"/>
    <w:rsid w:val="00322F88"/>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855E2"/>
    <w:rsid w:val="0049541C"/>
    <w:rsid w:val="004966B0"/>
    <w:rsid w:val="00497ACD"/>
    <w:rsid w:val="004A6B0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75F4"/>
    <w:rsid w:val="004F7A61"/>
    <w:rsid w:val="005009AF"/>
    <w:rsid w:val="005026CD"/>
    <w:rsid w:val="005032D0"/>
    <w:rsid w:val="005177AC"/>
    <w:rsid w:val="005243E7"/>
    <w:rsid w:val="00524694"/>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554B"/>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46AA0"/>
    <w:rsid w:val="00647368"/>
    <w:rsid w:val="00654818"/>
    <w:rsid w:val="00656B77"/>
    <w:rsid w:val="00656CB9"/>
    <w:rsid w:val="006635B0"/>
    <w:rsid w:val="00673156"/>
    <w:rsid w:val="006835BE"/>
    <w:rsid w:val="00696767"/>
    <w:rsid w:val="00696F92"/>
    <w:rsid w:val="006A7700"/>
    <w:rsid w:val="006A7A7C"/>
    <w:rsid w:val="006B2C72"/>
    <w:rsid w:val="006B791F"/>
    <w:rsid w:val="006C2455"/>
    <w:rsid w:val="006D34E8"/>
    <w:rsid w:val="006D5441"/>
    <w:rsid w:val="006F0C90"/>
    <w:rsid w:val="006F228A"/>
    <w:rsid w:val="006F25D8"/>
    <w:rsid w:val="006F260D"/>
    <w:rsid w:val="006F2766"/>
    <w:rsid w:val="006F55E1"/>
    <w:rsid w:val="007011CE"/>
    <w:rsid w:val="0070783C"/>
    <w:rsid w:val="00707E65"/>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73D8"/>
    <w:rsid w:val="007A2AEB"/>
    <w:rsid w:val="007A605A"/>
    <w:rsid w:val="007B07C6"/>
    <w:rsid w:val="007B1C85"/>
    <w:rsid w:val="007C27C7"/>
    <w:rsid w:val="007C3F79"/>
    <w:rsid w:val="007C43D3"/>
    <w:rsid w:val="007C6A12"/>
    <w:rsid w:val="007D2466"/>
    <w:rsid w:val="007D707A"/>
    <w:rsid w:val="007D7BBC"/>
    <w:rsid w:val="007E13D6"/>
    <w:rsid w:val="007E3DCE"/>
    <w:rsid w:val="007F00E9"/>
    <w:rsid w:val="007F2D36"/>
    <w:rsid w:val="007F62EC"/>
    <w:rsid w:val="00800778"/>
    <w:rsid w:val="0080709B"/>
    <w:rsid w:val="008202FB"/>
    <w:rsid w:val="00822510"/>
    <w:rsid w:val="00824547"/>
    <w:rsid w:val="00830EB9"/>
    <w:rsid w:val="00836B6F"/>
    <w:rsid w:val="00836D59"/>
    <w:rsid w:val="0083754C"/>
    <w:rsid w:val="00840653"/>
    <w:rsid w:val="008409C3"/>
    <w:rsid w:val="00841DF3"/>
    <w:rsid w:val="00845D9D"/>
    <w:rsid w:val="00850EA0"/>
    <w:rsid w:val="008527B6"/>
    <w:rsid w:val="00860B93"/>
    <w:rsid w:val="008675CF"/>
    <w:rsid w:val="00867C37"/>
    <w:rsid w:val="008716D0"/>
    <w:rsid w:val="00872DE5"/>
    <w:rsid w:val="00873F38"/>
    <w:rsid w:val="00875BFB"/>
    <w:rsid w:val="00876C4D"/>
    <w:rsid w:val="00882CC5"/>
    <w:rsid w:val="00883D74"/>
    <w:rsid w:val="00886884"/>
    <w:rsid w:val="00887A94"/>
    <w:rsid w:val="008919E4"/>
    <w:rsid w:val="0089315C"/>
    <w:rsid w:val="00897D18"/>
    <w:rsid w:val="008A6988"/>
    <w:rsid w:val="008B2AAC"/>
    <w:rsid w:val="008C66FD"/>
    <w:rsid w:val="008C7D11"/>
    <w:rsid w:val="008D4573"/>
    <w:rsid w:val="008D50D0"/>
    <w:rsid w:val="008E253B"/>
    <w:rsid w:val="008E2B76"/>
    <w:rsid w:val="008E3D1A"/>
    <w:rsid w:val="008E3E42"/>
    <w:rsid w:val="008E7748"/>
    <w:rsid w:val="008F0133"/>
    <w:rsid w:val="008F24D1"/>
    <w:rsid w:val="008F2D01"/>
    <w:rsid w:val="008F489F"/>
    <w:rsid w:val="009015C6"/>
    <w:rsid w:val="0091489C"/>
    <w:rsid w:val="009201A7"/>
    <w:rsid w:val="0092680E"/>
    <w:rsid w:val="009305AA"/>
    <w:rsid w:val="0093370B"/>
    <w:rsid w:val="0093642B"/>
    <w:rsid w:val="009368D6"/>
    <w:rsid w:val="009372EC"/>
    <w:rsid w:val="009434A2"/>
    <w:rsid w:val="00945DB1"/>
    <w:rsid w:val="00947C92"/>
    <w:rsid w:val="00956C79"/>
    <w:rsid w:val="009623F6"/>
    <w:rsid w:val="009634E3"/>
    <w:rsid w:val="009701C9"/>
    <w:rsid w:val="00971C09"/>
    <w:rsid w:val="009745D0"/>
    <w:rsid w:val="009759D9"/>
    <w:rsid w:val="00983C77"/>
    <w:rsid w:val="00983D18"/>
    <w:rsid w:val="009924BA"/>
    <w:rsid w:val="00993E1E"/>
    <w:rsid w:val="009A2D36"/>
    <w:rsid w:val="009A7DAA"/>
    <w:rsid w:val="009B006C"/>
    <w:rsid w:val="009B01A8"/>
    <w:rsid w:val="009B5715"/>
    <w:rsid w:val="009C0EDA"/>
    <w:rsid w:val="009C2D8A"/>
    <w:rsid w:val="009C380F"/>
    <w:rsid w:val="009C41AA"/>
    <w:rsid w:val="009C4EA8"/>
    <w:rsid w:val="009C5306"/>
    <w:rsid w:val="009C7712"/>
    <w:rsid w:val="009D0F26"/>
    <w:rsid w:val="009D7156"/>
    <w:rsid w:val="009D73E5"/>
    <w:rsid w:val="009D7586"/>
    <w:rsid w:val="009E6BC5"/>
    <w:rsid w:val="009F3539"/>
    <w:rsid w:val="009F3726"/>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92CF9"/>
    <w:rsid w:val="00AA5F4C"/>
    <w:rsid w:val="00AB1478"/>
    <w:rsid w:val="00AB337C"/>
    <w:rsid w:val="00AB543F"/>
    <w:rsid w:val="00AB7084"/>
    <w:rsid w:val="00AC1A8D"/>
    <w:rsid w:val="00AC33B0"/>
    <w:rsid w:val="00AC5918"/>
    <w:rsid w:val="00AC66EC"/>
    <w:rsid w:val="00AD07E1"/>
    <w:rsid w:val="00AD1273"/>
    <w:rsid w:val="00AD1C18"/>
    <w:rsid w:val="00AE60A3"/>
    <w:rsid w:val="00AE6DFB"/>
    <w:rsid w:val="00AE78CA"/>
    <w:rsid w:val="00AF1C65"/>
    <w:rsid w:val="00B01E93"/>
    <w:rsid w:val="00B0226A"/>
    <w:rsid w:val="00B04074"/>
    <w:rsid w:val="00B057FA"/>
    <w:rsid w:val="00B105F1"/>
    <w:rsid w:val="00B15360"/>
    <w:rsid w:val="00B171BF"/>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3E93"/>
    <w:rsid w:val="00BF5E60"/>
    <w:rsid w:val="00C02B1D"/>
    <w:rsid w:val="00C03793"/>
    <w:rsid w:val="00C16971"/>
    <w:rsid w:val="00C32B12"/>
    <w:rsid w:val="00C41E71"/>
    <w:rsid w:val="00C43CA2"/>
    <w:rsid w:val="00C45C77"/>
    <w:rsid w:val="00C479CA"/>
    <w:rsid w:val="00C555EC"/>
    <w:rsid w:val="00C55B94"/>
    <w:rsid w:val="00C570E0"/>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CF3172"/>
    <w:rsid w:val="00D0005A"/>
    <w:rsid w:val="00D00EA0"/>
    <w:rsid w:val="00D017DC"/>
    <w:rsid w:val="00D040CC"/>
    <w:rsid w:val="00D1327E"/>
    <w:rsid w:val="00D15D35"/>
    <w:rsid w:val="00D219AC"/>
    <w:rsid w:val="00D359C6"/>
    <w:rsid w:val="00D478E5"/>
    <w:rsid w:val="00D51BD4"/>
    <w:rsid w:val="00D52977"/>
    <w:rsid w:val="00D56203"/>
    <w:rsid w:val="00D64FF8"/>
    <w:rsid w:val="00D668E4"/>
    <w:rsid w:val="00D726C3"/>
    <w:rsid w:val="00D75B17"/>
    <w:rsid w:val="00D80197"/>
    <w:rsid w:val="00D82BB0"/>
    <w:rsid w:val="00D86290"/>
    <w:rsid w:val="00D86777"/>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70CC7"/>
    <w:rsid w:val="00E71C4E"/>
    <w:rsid w:val="00E73042"/>
    <w:rsid w:val="00E73A36"/>
    <w:rsid w:val="00E7416D"/>
    <w:rsid w:val="00E74DAA"/>
    <w:rsid w:val="00E766E1"/>
    <w:rsid w:val="00E945CD"/>
    <w:rsid w:val="00EA57C9"/>
    <w:rsid w:val="00EB5539"/>
    <w:rsid w:val="00EB6D5E"/>
    <w:rsid w:val="00EC14E2"/>
    <w:rsid w:val="00EC31F6"/>
    <w:rsid w:val="00EC3D59"/>
    <w:rsid w:val="00ED0B80"/>
    <w:rsid w:val="00ED3495"/>
    <w:rsid w:val="00ED5948"/>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CEFFB"/>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99"/>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99"/>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paragraph" w:styleId="afffff">
    <w:name w:val="Body Text Indent"/>
    <w:basedOn w:val="a5"/>
    <w:link w:val="afffff0"/>
    <w:uiPriority w:val="99"/>
    <w:semiHidden/>
    <w:unhideWhenUsed/>
    <w:rsid w:val="00524694"/>
    <w:pPr>
      <w:spacing w:after="120"/>
      <w:ind w:left="283"/>
    </w:pPr>
  </w:style>
  <w:style w:type="character" w:customStyle="1" w:styleId="afffff0">
    <w:name w:val="Основной текст с отступом Знак"/>
    <w:basedOn w:val="a6"/>
    <w:link w:val="afffff"/>
    <w:uiPriority w:val="99"/>
    <w:semiHidden/>
    <w:rsid w:val="00524694"/>
    <w:rPr>
      <w:rFonts w:ascii="Times New Roman" w:eastAsia="Times New Roman" w:hAnsi="Times New Roman" w:cs="Times New Roman"/>
      <w:sz w:val="28"/>
      <w:szCs w:val="20"/>
      <w:lang w:eastAsia="ru-RU"/>
    </w:rPr>
  </w:style>
  <w:style w:type="paragraph" w:styleId="HTML0">
    <w:name w:val="HTML Preformatted"/>
    <w:basedOn w:val="a5"/>
    <w:link w:val="HTML1"/>
    <w:uiPriority w:val="99"/>
    <w:rsid w:val="0000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hAnsi="Courier" w:cs="Courier"/>
      <w:sz w:val="20"/>
    </w:rPr>
  </w:style>
  <w:style w:type="character" w:customStyle="1" w:styleId="HTML1">
    <w:name w:val="Стандартный HTML Знак"/>
    <w:basedOn w:val="a6"/>
    <w:link w:val="HTML0"/>
    <w:uiPriority w:val="99"/>
    <w:rsid w:val="00007370"/>
    <w:rPr>
      <w:rFonts w:ascii="Courier" w:eastAsia="Times New Roman" w:hAnsi="Courier" w:cs="Courier"/>
      <w:sz w:val="20"/>
      <w:szCs w:val="20"/>
      <w:lang w:eastAsia="ru-RU"/>
    </w:rPr>
  </w:style>
  <w:style w:type="paragraph" w:customStyle="1" w:styleId="References">
    <w:name w:val="References"/>
    <w:basedOn w:val="a5"/>
    <w:rsid w:val="00007370"/>
    <w:pPr>
      <w:spacing w:before="240" w:line="240" w:lineRule="atLeast"/>
      <w:ind w:firstLine="0"/>
    </w:pPr>
    <w:rPr>
      <w:rFonts w:ascii="Times" w:hAnsi="Times"/>
      <w:sz w:val="24"/>
      <w:lang w:val="en-US" w:eastAsia="en-US"/>
    </w:rPr>
  </w:style>
  <w:style w:type="paragraph" w:customStyle="1" w:styleId="TableParagraph">
    <w:name w:val="Table Paragraph"/>
    <w:basedOn w:val="a5"/>
    <w:uiPriority w:val="1"/>
    <w:qFormat/>
    <w:rsid w:val="007C43D3"/>
    <w:pPr>
      <w:widowControl w:val="0"/>
      <w:spacing w:line="240" w:lineRule="auto"/>
      <w:ind w:firstLine="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57976159">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06361669">
      <w:bodyDiv w:val="1"/>
      <w:marLeft w:val="0"/>
      <w:marRight w:val="0"/>
      <w:marTop w:val="0"/>
      <w:marBottom w:val="0"/>
      <w:divBdr>
        <w:top w:val="none" w:sz="0" w:space="0" w:color="auto"/>
        <w:left w:val="none" w:sz="0" w:space="0" w:color="auto"/>
        <w:bottom w:val="none" w:sz="0" w:space="0" w:color="auto"/>
        <w:right w:val="none" w:sz="0" w:space="0" w:color="auto"/>
      </w:divBdr>
    </w:div>
    <w:div w:id="521550794">
      <w:bodyDiv w:val="1"/>
      <w:marLeft w:val="0"/>
      <w:marRight w:val="0"/>
      <w:marTop w:val="0"/>
      <w:marBottom w:val="0"/>
      <w:divBdr>
        <w:top w:val="none" w:sz="0" w:space="0" w:color="auto"/>
        <w:left w:val="none" w:sz="0" w:space="0" w:color="auto"/>
        <w:bottom w:val="none" w:sz="0" w:space="0" w:color="auto"/>
        <w:right w:val="none" w:sz="0" w:space="0" w:color="auto"/>
      </w:divBdr>
    </w:div>
    <w:div w:id="569312429">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197636996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AE03-BAEB-FD49-814D-9301093D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Малышев Павел Юрьевич</cp:lastModifiedBy>
  <cp:revision>8</cp:revision>
  <cp:lastPrinted>2016-08-12T12:21:00Z</cp:lastPrinted>
  <dcterms:created xsi:type="dcterms:W3CDTF">2021-02-02T19:52:00Z</dcterms:created>
  <dcterms:modified xsi:type="dcterms:W3CDTF">2021-02-02T20:35:00Z</dcterms:modified>
</cp:coreProperties>
</file>