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99" w:rsidRPr="006E077B" w:rsidRDefault="00E2653A" w:rsidP="006E077B">
      <w:pPr>
        <w:pStyle w:val="a6"/>
        <w:widowControl/>
        <w:tabs>
          <w:tab w:val="left" w:pos="360"/>
        </w:tabs>
        <w:spacing w:line="360" w:lineRule="auto"/>
        <w:contextualSpacing/>
        <w:jc w:val="center"/>
        <w:rPr>
          <w:rFonts w:ascii="Times New Roman" w:hAnsi="Times New Roman"/>
          <w:sz w:val="24"/>
          <w:szCs w:val="24"/>
        </w:rPr>
      </w:pPr>
      <w:r w:rsidRPr="006E077B">
        <w:rPr>
          <w:rFonts w:ascii="Times New Roman" w:hAnsi="Times New Roman"/>
          <w:sz w:val="24"/>
          <w:szCs w:val="24"/>
        </w:rPr>
        <w:t>Abstract</w:t>
      </w:r>
    </w:p>
    <w:p w:rsidR="00AB3899" w:rsidRPr="006E077B" w:rsidRDefault="00E2653A" w:rsidP="006E077B">
      <w:pPr>
        <w:pStyle w:val="a6"/>
        <w:widowControl/>
        <w:tabs>
          <w:tab w:val="left" w:pos="360"/>
        </w:tabs>
        <w:spacing w:line="360" w:lineRule="auto"/>
        <w:contextualSpacing/>
        <w:jc w:val="center"/>
        <w:rPr>
          <w:rFonts w:ascii="Times New Roman" w:hAnsi="Times New Roman"/>
          <w:sz w:val="24"/>
          <w:szCs w:val="24"/>
        </w:rPr>
      </w:pPr>
      <w:r w:rsidRPr="006E077B">
        <w:rPr>
          <w:rFonts w:ascii="Times New Roman" w:hAnsi="Times New Roman"/>
          <w:sz w:val="24"/>
          <w:szCs w:val="24"/>
          <w:highlight w:val="yellow"/>
        </w:rPr>
        <w:t>TOR</w:t>
      </w:r>
      <w:r w:rsidRPr="006E077B">
        <w:rPr>
          <w:rFonts w:ascii="Times New Roman" w:hAnsi="Times New Roman"/>
          <w:sz w:val="24"/>
          <w:szCs w:val="24"/>
        </w:rPr>
        <w:t>-157</w:t>
      </w:r>
    </w:p>
    <w:p w:rsidR="00AB3899" w:rsidRPr="006E077B" w:rsidRDefault="00AB3899" w:rsidP="006E077B">
      <w:pPr>
        <w:pStyle w:val="a6"/>
        <w:widowControl/>
        <w:tabs>
          <w:tab w:val="left" w:pos="360"/>
        </w:tabs>
        <w:spacing w:line="360" w:lineRule="auto"/>
        <w:contextualSpacing/>
        <w:jc w:val="center"/>
        <w:rPr>
          <w:rFonts w:ascii="Times New Roman" w:hAnsi="Times New Roman"/>
          <w:sz w:val="24"/>
          <w:szCs w:val="24"/>
        </w:rPr>
      </w:pPr>
    </w:p>
    <w:p w:rsidR="00AB3899" w:rsidRPr="006E077B" w:rsidRDefault="00E2653A" w:rsidP="006E077B">
      <w:pPr>
        <w:pStyle w:val="a6"/>
        <w:widowControl/>
        <w:tabs>
          <w:tab w:val="left" w:pos="360"/>
        </w:tabs>
        <w:spacing w:line="360" w:lineRule="auto"/>
        <w:ind w:firstLine="709"/>
        <w:contextualSpacing/>
        <w:jc w:val="both"/>
        <w:rPr>
          <w:rFonts w:ascii="Times New Roman" w:hAnsi="Times New Roman"/>
          <w:sz w:val="24"/>
          <w:szCs w:val="24"/>
        </w:rPr>
      </w:pPr>
      <w:r w:rsidRPr="006E077B">
        <w:rPr>
          <w:rFonts w:ascii="Times New Roman" w:hAnsi="Times New Roman"/>
          <w:sz w:val="24"/>
          <w:szCs w:val="24"/>
        </w:rPr>
        <w:t>Topic</w:t>
      </w:r>
      <w:r w:rsidRPr="006E077B">
        <w:rPr>
          <w:rFonts w:ascii="Times New Roman" w:hAnsi="Times New Roman"/>
          <w:sz w:val="24"/>
          <w:szCs w:val="24"/>
        </w:rPr>
        <w:t xml:space="preserve">: «Households </w:t>
      </w:r>
      <w:r w:rsidR="006C4F54">
        <w:rPr>
          <w:rFonts w:ascii="Times New Roman" w:hAnsi="Times New Roman"/>
          <w:sz w:val="24"/>
          <w:szCs w:val="24"/>
        </w:rPr>
        <w:t>E</w:t>
      </w:r>
      <w:r w:rsidRPr="006E077B">
        <w:rPr>
          <w:rFonts w:ascii="Times New Roman" w:hAnsi="Times New Roman"/>
          <w:sz w:val="24"/>
          <w:szCs w:val="24"/>
        </w:rPr>
        <w:t xml:space="preserve">conomic </w:t>
      </w:r>
      <w:r w:rsidR="006C4F54">
        <w:rPr>
          <w:rFonts w:ascii="Times New Roman" w:hAnsi="Times New Roman"/>
          <w:sz w:val="24"/>
          <w:szCs w:val="24"/>
        </w:rPr>
        <w:t>B</w:t>
      </w:r>
      <w:r w:rsidRPr="006E077B">
        <w:rPr>
          <w:rFonts w:ascii="Times New Roman" w:hAnsi="Times New Roman"/>
          <w:sz w:val="24"/>
          <w:szCs w:val="24"/>
        </w:rPr>
        <w:t>ehavior»</w:t>
      </w:r>
    </w:p>
    <w:p w:rsidR="00AB3899" w:rsidRDefault="00E2653A" w:rsidP="006E077B">
      <w:pPr>
        <w:pStyle w:val="a6"/>
        <w:tabs>
          <w:tab w:val="left" w:pos="360"/>
        </w:tabs>
        <w:spacing w:line="360" w:lineRule="auto"/>
        <w:ind w:firstLine="709"/>
        <w:contextualSpacing/>
        <w:jc w:val="both"/>
        <w:rPr>
          <w:rFonts w:ascii="Times New Roman" w:hAnsi="Times New Roman"/>
          <w:sz w:val="24"/>
          <w:szCs w:val="24"/>
        </w:rPr>
      </w:pPr>
      <w:r w:rsidRPr="006E077B">
        <w:rPr>
          <w:rFonts w:ascii="Times New Roman" w:hAnsi="Times New Roman"/>
          <w:sz w:val="24"/>
          <w:szCs w:val="24"/>
        </w:rPr>
        <w:t>Head of the Project:</w:t>
      </w:r>
    </w:p>
    <w:p w:rsidR="00AB3899" w:rsidRPr="006E077B" w:rsidRDefault="00E2653A" w:rsidP="006E077B">
      <w:pPr>
        <w:pStyle w:val="a6"/>
        <w:tabs>
          <w:tab w:val="left" w:pos="360"/>
        </w:tabs>
        <w:spacing w:line="360" w:lineRule="auto"/>
        <w:ind w:firstLine="709"/>
        <w:contextualSpacing/>
        <w:jc w:val="both"/>
        <w:rPr>
          <w:rFonts w:ascii="Times New Roman" w:hAnsi="Times New Roman"/>
          <w:sz w:val="24"/>
          <w:szCs w:val="24"/>
        </w:rPr>
      </w:pPr>
      <w:r w:rsidRPr="006E077B">
        <w:rPr>
          <w:rFonts w:ascii="Times New Roman" w:hAnsi="Times New Roman"/>
          <w:sz w:val="24"/>
          <w:szCs w:val="24"/>
        </w:rPr>
        <w:t xml:space="preserve">O.V. </w:t>
      </w:r>
      <w:proofErr w:type="spellStart"/>
      <w:r w:rsidRPr="006E077B">
        <w:rPr>
          <w:rFonts w:ascii="Times New Roman" w:hAnsi="Times New Roman"/>
          <w:sz w:val="24"/>
          <w:szCs w:val="24"/>
        </w:rPr>
        <w:t>Sinyavskaya</w:t>
      </w:r>
      <w:proofErr w:type="spellEnd"/>
      <w:r w:rsidRPr="006E077B">
        <w:rPr>
          <w:rFonts w:ascii="Times New Roman" w:hAnsi="Times New Roman"/>
          <w:sz w:val="24"/>
          <w:szCs w:val="24"/>
        </w:rPr>
        <w:t xml:space="preserve">, </w:t>
      </w:r>
      <w:proofErr w:type="spellStart"/>
      <w:r w:rsidRPr="006E077B">
        <w:rPr>
          <w:rFonts w:ascii="Times New Roman" w:hAnsi="Times New Roman"/>
          <w:sz w:val="24"/>
          <w:szCs w:val="24"/>
        </w:rPr>
        <w:t>Cand</w:t>
      </w:r>
      <w:proofErr w:type="spellEnd"/>
      <w:r w:rsidRPr="006E077B">
        <w:rPr>
          <w:rFonts w:ascii="Times New Roman" w:hAnsi="Times New Roman"/>
          <w:sz w:val="24"/>
          <w:szCs w:val="24"/>
        </w:rPr>
        <w:t>. Sci. (Econ.), Deputy Director of the Institute for Social Policy</w:t>
      </w:r>
      <w:r w:rsidRPr="006E077B">
        <w:rPr>
          <w:rFonts w:ascii="Times New Roman" w:hAnsi="Times New Roman"/>
          <w:sz w:val="24"/>
          <w:szCs w:val="24"/>
        </w:rPr>
        <w:t>,</w:t>
      </w:r>
    </w:p>
    <w:p w:rsidR="006C4F54" w:rsidRPr="006E077B" w:rsidRDefault="00E2653A" w:rsidP="006C4F54">
      <w:pPr>
        <w:tabs>
          <w:tab w:val="left" w:pos="360"/>
        </w:tabs>
        <w:spacing w:line="360" w:lineRule="auto"/>
        <w:ind w:firstLine="709"/>
        <w:contextualSpacing/>
        <w:jc w:val="both"/>
        <w:rPr>
          <w:rFonts w:ascii="Times New Roman" w:hAnsi="Times New Roman" w:cs="Times New Roman"/>
        </w:rPr>
      </w:pPr>
      <w:r w:rsidRPr="006E077B">
        <w:rPr>
          <w:rFonts w:ascii="Times New Roman" w:hAnsi="Times New Roman" w:cs="Times New Roman"/>
        </w:rPr>
        <w:t>Department: Institute for Social Policy</w:t>
      </w:r>
    </w:p>
    <w:p w:rsidR="00AB3899" w:rsidRPr="006E077B" w:rsidRDefault="00AB3899" w:rsidP="006E077B">
      <w:pPr>
        <w:pStyle w:val="a6"/>
        <w:widowControl/>
        <w:tabs>
          <w:tab w:val="left" w:pos="360"/>
        </w:tabs>
        <w:spacing w:line="360" w:lineRule="auto"/>
        <w:ind w:firstLine="709"/>
        <w:contextualSpacing/>
        <w:rPr>
          <w:rFonts w:ascii="Times New Roman" w:hAnsi="Times New Roman"/>
          <w:sz w:val="24"/>
          <w:szCs w:val="24"/>
        </w:rPr>
      </w:pPr>
    </w:p>
    <w:p w:rsidR="00AB3899" w:rsidRPr="006E077B" w:rsidRDefault="00E2653A" w:rsidP="006E077B">
      <w:pPr>
        <w:pStyle w:val="a3"/>
        <w:tabs>
          <w:tab w:val="left" w:pos="360"/>
        </w:tabs>
        <w:spacing w:after="0" w:line="360" w:lineRule="auto"/>
        <w:ind w:firstLine="709"/>
        <w:contextualSpacing/>
        <w:rPr>
          <w:rFonts w:ascii="Times New Roman" w:hAnsi="Times New Roman" w:cs="Times New Roman"/>
        </w:rPr>
      </w:pPr>
      <w:r w:rsidRPr="001935F8">
        <w:rPr>
          <w:rFonts w:ascii="Times New Roman" w:hAnsi="Times New Roman" w:cs="Times New Roman"/>
          <w:b/>
        </w:rPr>
        <w:t>The object of the research</w:t>
      </w:r>
      <w:r w:rsidRPr="006E077B">
        <w:rPr>
          <w:rFonts w:ascii="Times New Roman" w:hAnsi="Times New Roman" w:cs="Times New Roman"/>
        </w:rPr>
        <w:t xml:space="preserve"> is the population </w:t>
      </w:r>
      <w:r w:rsidRPr="006E077B">
        <w:rPr>
          <w:rFonts w:ascii="Times New Roman" w:hAnsi="Times New Roman" w:cs="Times New Roman"/>
        </w:rPr>
        <w:t>and households of Russia.</w:t>
      </w:r>
    </w:p>
    <w:p w:rsidR="00AB3899" w:rsidRPr="006E077B" w:rsidRDefault="00E2653A" w:rsidP="001935F8">
      <w:pPr>
        <w:pStyle w:val="a3"/>
        <w:numPr>
          <w:ilvl w:val="0"/>
          <w:numId w:val="1"/>
        </w:numPr>
        <w:tabs>
          <w:tab w:val="left" w:pos="707"/>
        </w:tabs>
        <w:spacing w:after="0" w:line="360" w:lineRule="auto"/>
        <w:ind w:left="0" w:firstLine="709"/>
        <w:jc w:val="both"/>
        <w:rPr>
          <w:rFonts w:ascii="Times New Roman" w:hAnsi="Times New Roman" w:cs="Times New Roman"/>
        </w:rPr>
      </w:pPr>
      <w:r w:rsidRPr="001935F8">
        <w:rPr>
          <w:rFonts w:ascii="Times New Roman" w:hAnsi="Times New Roman" w:cs="Times New Roman"/>
          <w:b/>
        </w:rPr>
        <w:t>Research goal</w:t>
      </w:r>
      <w:r w:rsidRPr="006E077B">
        <w:rPr>
          <w:rFonts w:ascii="Times New Roman" w:hAnsi="Times New Roman" w:cs="Times New Roman"/>
        </w:rPr>
        <w:t xml:space="preserve">: the development of tools for the analysis and monitoring of </w:t>
      </w:r>
      <w:proofErr w:type="gramStart"/>
      <w:r w:rsidRPr="006E077B">
        <w:rPr>
          <w:rFonts w:ascii="Times New Roman" w:hAnsi="Times New Roman" w:cs="Times New Roman"/>
        </w:rPr>
        <w:t>households</w:t>
      </w:r>
      <w:proofErr w:type="gramEnd"/>
      <w:r w:rsidR="000F5350">
        <w:rPr>
          <w:rFonts w:ascii="Times New Roman" w:hAnsi="Times New Roman" w:cs="Times New Roman"/>
        </w:rPr>
        <w:t xml:space="preserve"> </w:t>
      </w:r>
      <w:r w:rsidR="000F5350" w:rsidRPr="006E077B">
        <w:rPr>
          <w:rFonts w:ascii="Times New Roman" w:hAnsi="Times New Roman" w:cs="Times New Roman"/>
        </w:rPr>
        <w:t>economic behavior</w:t>
      </w:r>
      <w:r w:rsidRPr="006E077B">
        <w:rPr>
          <w:rFonts w:ascii="Times New Roman" w:hAnsi="Times New Roman" w:cs="Times New Roman"/>
        </w:rPr>
        <w:t xml:space="preserve"> in Russia, as well as the formulation of socio-economic policies to enhance social stability. This includes the assessment </w:t>
      </w:r>
      <w:r w:rsidRPr="006E077B">
        <w:rPr>
          <w:rFonts w:ascii="Times New Roman" w:hAnsi="Times New Roman" w:cs="Times New Roman"/>
        </w:rPr>
        <w:t xml:space="preserve">of the role of consumer demand and supply and monitoring their dynamics in the current economic conditions, evaluating and monitoring the well-being of Russian households, </w:t>
      </w:r>
      <w:bookmarkStart w:id="0" w:name="_GoBack"/>
      <w:bookmarkEnd w:id="0"/>
      <w:r w:rsidRPr="006E077B">
        <w:rPr>
          <w:rFonts w:ascii="Times New Roman" w:hAnsi="Times New Roman" w:cs="Times New Roman"/>
        </w:rPr>
        <w:t>identifying and monitoring consumption in the sectors of culture, sports, healthcare</w:t>
      </w:r>
      <w:r w:rsidRPr="006E077B">
        <w:rPr>
          <w:rFonts w:ascii="Times New Roman" w:hAnsi="Times New Roman" w:cs="Times New Roman"/>
        </w:rPr>
        <w:t>, education, digital, and innovative consumption. The</w:t>
      </w:r>
      <w:r w:rsidR="006C4F54">
        <w:rPr>
          <w:rFonts w:ascii="Times New Roman" w:hAnsi="Times New Roman" w:cs="Times New Roman"/>
        </w:rPr>
        <w:t xml:space="preserve"> </w:t>
      </w:r>
      <w:r w:rsidRPr="006E077B">
        <w:rPr>
          <w:rFonts w:ascii="Times New Roman" w:hAnsi="Times New Roman" w:cs="Times New Roman"/>
        </w:rPr>
        <w:t>s</w:t>
      </w:r>
      <w:r w:rsidRPr="006E077B">
        <w:rPr>
          <w:rFonts w:ascii="Times New Roman" w:hAnsi="Times New Roman" w:cs="Times New Roman"/>
        </w:rPr>
        <w:t>tudy also explores the economic consumption of households belonging to high-income groups.</w:t>
      </w:r>
    </w:p>
    <w:p w:rsidR="00AB3899" w:rsidRPr="006E077B" w:rsidRDefault="00E2653A" w:rsidP="003557DD">
      <w:pPr>
        <w:pStyle w:val="a3"/>
        <w:numPr>
          <w:ilvl w:val="0"/>
          <w:numId w:val="1"/>
        </w:numPr>
        <w:tabs>
          <w:tab w:val="left" w:pos="707"/>
        </w:tabs>
        <w:spacing w:after="0" w:line="360" w:lineRule="auto"/>
        <w:ind w:left="0" w:firstLine="709"/>
        <w:jc w:val="both"/>
        <w:rPr>
          <w:rFonts w:ascii="Times New Roman" w:hAnsi="Times New Roman" w:cs="Times New Roman"/>
        </w:rPr>
      </w:pPr>
      <w:r w:rsidRPr="001935F8">
        <w:rPr>
          <w:rFonts w:ascii="Times New Roman" w:hAnsi="Times New Roman" w:cs="Times New Roman"/>
          <w:b/>
        </w:rPr>
        <w:t>Methods used</w:t>
      </w:r>
      <w:r w:rsidRPr="006E077B">
        <w:rPr>
          <w:rFonts w:ascii="Times New Roman" w:hAnsi="Times New Roman" w:cs="Times New Roman"/>
        </w:rPr>
        <w:t>: (1) desk research of Russian and foreign literature on the project topic, (2) mixed quantitative</w:t>
      </w:r>
      <w:r w:rsidRPr="006E077B">
        <w:rPr>
          <w:rFonts w:ascii="Times New Roman" w:hAnsi="Times New Roman" w:cs="Times New Roman"/>
        </w:rPr>
        <w:t>-qualitative sociological research, including conducting field sociological research such as representative surveys of the population using the Computer-Assisted Personal Interviewing (CAPI) method, non-representative surveys of the top decile of the popul</w:t>
      </w:r>
      <w:r w:rsidRPr="006E077B">
        <w:rPr>
          <w:rFonts w:ascii="Times New Roman" w:hAnsi="Times New Roman" w:cs="Times New Roman"/>
        </w:rPr>
        <w:t>ation using personal standardized interviews and online self-administered questionnaires, semi-standardized leitmotif interviews with survey participants, (3) secondary analysis of focus group discussion materials collected in another project, (4) multidim</w:t>
      </w:r>
      <w:r w:rsidRPr="006E077B">
        <w:rPr>
          <w:rFonts w:ascii="Times New Roman" w:hAnsi="Times New Roman" w:cs="Times New Roman"/>
        </w:rPr>
        <w:t xml:space="preserve">ensional statistical and econometric analysis of data from selective sociological studies, (5) statistical and economic (demand models) analysis of </w:t>
      </w:r>
      <w:r w:rsidR="003557DD">
        <w:rPr>
          <w:rFonts w:ascii="Times New Roman" w:hAnsi="Times New Roman" w:cs="Times New Roman"/>
        </w:rPr>
        <w:t>Federal State Statistics Service</w:t>
      </w:r>
      <w:r w:rsidRPr="006E077B">
        <w:rPr>
          <w:rFonts w:ascii="Times New Roman" w:hAnsi="Times New Roman" w:cs="Times New Roman"/>
        </w:rPr>
        <w:t xml:space="preserve"> macroeconomic data, including the national accounts system.</w:t>
      </w:r>
    </w:p>
    <w:p w:rsidR="00AB3899" w:rsidRPr="006E077B" w:rsidRDefault="00E2653A" w:rsidP="003557DD">
      <w:pPr>
        <w:pStyle w:val="a3"/>
        <w:numPr>
          <w:ilvl w:val="0"/>
          <w:numId w:val="1"/>
        </w:numPr>
        <w:spacing w:after="0" w:line="360" w:lineRule="auto"/>
        <w:ind w:left="0" w:firstLine="709"/>
        <w:jc w:val="both"/>
        <w:rPr>
          <w:rFonts w:ascii="Times New Roman" w:hAnsi="Times New Roman" w:cs="Times New Roman"/>
        </w:rPr>
      </w:pPr>
      <w:r w:rsidRPr="001935F8">
        <w:rPr>
          <w:rFonts w:ascii="Times New Roman" w:hAnsi="Times New Roman" w:cs="Times New Roman"/>
          <w:b/>
        </w:rPr>
        <w:t>Empirical basis</w:t>
      </w:r>
      <w:r w:rsidRPr="006E077B">
        <w:rPr>
          <w:rFonts w:ascii="Times New Roman" w:hAnsi="Times New Roman" w:cs="Times New Roman"/>
        </w:rPr>
        <w:t>: (1) data from mass popu</w:t>
      </w:r>
      <w:r w:rsidRPr="006E077B">
        <w:rPr>
          <w:rFonts w:ascii="Times New Roman" w:hAnsi="Times New Roman" w:cs="Times New Roman"/>
        </w:rPr>
        <w:t xml:space="preserve">lation surveys conducted in 2023 as part of the project: </w:t>
      </w:r>
      <w:r w:rsidR="006C4F54">
        <w:rPr>
          <w:rFonts w:ascii="Times New Roman" w:hAnsi="Times New Roman" w:cs="Times New Roman"/>
        </w:rPr>
        <w:t>«Households Economic B</w:t>
      </w:r>
      <w:r w:rsidR="006C4F54" w:rsidRPr="006E077B">
        <w:rPr>
          <w:rFonts w:ascii="Times New Roman" w:hAnsi="Times New Roman" w:cs="Times New Roman"/>
        </w:rPr>
        <w:t>ehavior»</w:t>
      </w:r>
      <w:r w:rsidR="006C4F54">
        <w:rPr>
          <w:rFonts w:ascii="Times New Roman" w:hAnsi="Times New Roman" w:cs="Times New Roman"/>
        </w:rPr>
        <w:t xml:space="preserve"> (</w:t>
      </w:r>
      <w:r w:rsidRPr="006E077B">
        <w:rPr>
          <w:rFonts w:ascii="Times New Roman" w:hAnsi="Times New Roman" w:cs="Times New Roman"/>
        </w:rPr>
        <w:t>H</w:t>
      </w:r>
      <w:r w:rsidR="006C4F54">
        <w:rPr>
          <w:rFonts w:ascii="Times New Roman" w:hAnsi="Times New Roman" w:cs="Times New Roman"/>
        </w:rPr>
        <w:t>EB</w:t>
      </w:r>
      <w:r w:rsidRPr="006E077B">
        <w:rPr>
          <w:rFonts w:ascii="Times New Roman" w:hAnsi="Times New Roman" w:cs="Times New Roman"/>
        </w:rPr>
        <w:t>, population aged 18 and older; first wave sample</w:t>
      </w:r>
      <w:r w:rsidR="006C4F54">
        <w:rPr>
          <w:rFonts w:ascii="Times New Roman" w:hAnsi="Times New Roman" w:cs="Times New Roman"/>
        </w:rPr>
        <w:t xml:space="preserve"> – </w:t>
      </w:r>
      <w:r w:rsidRPr="006E077B">
        <w:rPr>
          <w:rFonts w:ascii="Times New Roman" w:hAnsi="Times New Roman" w:cs="Times New Roman"/>
        </w:rPr>
        <w:t>6000 individuals, second and third waves</w:t>
      </w:r>
      <w:r w:rsidR="006C4F54">
        <w:rPr>
          <w:rFonts w:ascii="Times New Roman" w:hAnsi="Times New Roman" w:cs="Times New Roman"/>
        </w:rPr>
        <w:t xml:space="preserve"> – 6700 individuals), </w:t>
      </w:r>
      <w:r w:rsidR="006C4F54">
        <w:rPr>
          <w:rFonts w:ascii="Times New Roman" w:hAnsi="Times New Roman" w:cs="Times New Roman"/>
        </w:rPr>
        <w:t>«</w:t>
      </w:r>
      <w:r w:rsidRPr="006E077B">
        <w:rPr>
          <w:rFonts w:ascii="Times New Roman" w:hAnsi="Times New Roman" w:cs="Times New Roman"/>
        </w:rPr>
        <w:t>Top Decile Survey</w:t>
      </w:r>
      <w:r w:rsidR="006C4F54" w:rsidRPr="006E077B">
        <w:rPr>
          <w:rFonts w:ascii="Times New Roman" w:hAnsi="Times New Roman" w:cs="Times New Roman"/>
        </w:rPr>
        <w:t>»</w:t>
      </w:r>
      <w:r w:rsidRPr="006E077B">
        <w:rPr>
          <w:rFonts w:ascii="Times New Roman" w:hAnsi="Times New Roman" w:cs="Times New Roman"/>
        </w:rPr>
        <w:t xml:space="preserve"> (18 and older; first and se</w:t>
      </w:r>
      <w:r w:rsidRPr="006E077B">
        <w:rPr>
          <w:rFonts w:ascii="Times New Roman" w:hAnsi="Times New Roman" w:cs="Times New Roman"/>
        </w:rPr>
        <w:t>cond wave sample</w:t>
      </w:r>
      <w:r w:rsidR="006C4F54">
        <w:rPr>
          <w:rFonts w:ascii="Times New Roman" w:hAnsi="Times New Roman" w:cs="Times New Roman"/>
        </w:rPr>
        <w:t xml:space="preserve"> – </w:t>
      </w:r>
      <w:r w:rsidRPr="006E077B">
        <w:rPr>
          <w:rFonts w:ascii="Times New Roman" w:hAnsi="Times New Roman" w:cs="Times New Roman"/>
        </w:rPr>
        <w:t>1000 individuals), online youth survey (16-18 years old; sample</w:t>
      </w:r>
      <w:r w:rsidR="006C4F54">
        <w:rPr>
          <w:rFonts w:ascii="Times New Roman" w:hAnsi="Times New Roman" w:cs="Times New Roman"/>
        </w:rPr>
        <w:t xml:space="preserve"> – </w:t>
      </w:r>
      <w:r w:rsidRPr="006E077B">
        <w:rPr>
          <w:rFonts w:ascii="Times New Roman" w:hAnsi="Times New Roman" w:cs="Times New Roman"/>
        </w:rPr>
        <w:t>2000 individuals), online decision-making survey in households (respondents aged 25-59 in partnerships/marriages; sample</w:t>
      </w:r>
      <w:r w:rsidR="006C4F54">
        <w:rPr>
          <w:rFonts w:ascii="Times New Roman" w:hAnsi="Times New Roman" w:cs="Times New Roman"/>
        </w:rPr>
        <w:t xml:space="preserve"> – </w:t>
      </w:r>
      <w:r w:rsidRPr="006E077B">
        <w:rPr>
          <w:rFonts w:ascii="Times New Roman" w:hAnsi="Times New Roman" w:cs="Times New Roman"/>
        </w:rPr>
        <w:t>3000 individuals); (2) data from personal leitmo</w:t>
      </w:r>
      <w:r w:rsidRPr="006E077B">
        <w:rPr>
          <w:rFonts w:ascii="Times New Roman" w:hAnsi="Times New Roman" w:cs="Times New Roman"/>
        </w:rPr>
        <w:t xml:space="preserve">tif interviews conducted as part of projects with codes </w:t>
      </w:r>
      <w:r w:rsidR="006C4F54">
        <w:rPr>
          <w:rFonts w:ascii="Times New Roman" w:hAnsi="Times New Roman" w:cs="Times New Roman"/>
        </w:rPr>
        <w:t>TOR</w:t>
      </w:r>
      <w:r w:rsidRPr="006E077B">
        <w:rPr>
          <w:rFonts w:ascii="Times New Roman" w:hAnsi="Times New Roman" w:cs="Times New Roman"/>
        </w:rPr>
        <w:t xml:space="preserve">-157 and </w:t>
      </w:r>
      <w:r w:rsidR="006C4F54">
        <w:rPr>
          <w:rFonts w:ascii="Times New Roman" w:hAnsi="Times New Roman" w:cs="Times New Roman"/>
        </w:rPr>
        <w:t>TOR</w:t>
      </w:r>
      <w:r w:rsidRPr="006E077B">
        <w:rPr>
          <w:rFonts w:ascii="Times New Roman" w:hAnsi="Times New Roman" w:cs="Times New Roman"/>
        </w:rPr>
        <w:t xml:space="preserve">-153 using the </w:t>
      </w:r>
      <w:r w:rsidR="006C4F54">
        <w:rPr>
          <w:rFonts w:ascii="Times New Roman" w:hAnsi="Times New Roman" w:cs="Times New Roman"/>
        </w:rPr>
        <w:t>HEB</w:t>
      </w:r>
      <w:r w:rsidRPr="006E077B">
        <w:rPr>
          <w:rFonts w:ascii="Times New Roman" w:hAnsi="Times New Roman" w:cs="Times New Roman"/>
        </w:rPr>
        <w:t xml:space="preserve"> dataset; (3) </w:t>
      </w:r>
      <w:r w:rsidR="006C4F54" w:rsidRPr="006C4F54">
        <w:rPr>
          <w:rFonts w:ascii="Times New Roman" w:hAnsi="Times New Roman" w:cs="Times New Roman"/>
        </w:rPr>
        <w:t>Federal State Statistics Service</w:t>
      </w:r>
      <w:r w:rsidR="006C4F54">
        <w:rPr>
          <w:rFonts w:ascii="Times New Roman" w:hAnsi="Times New Roman" w:cs="Times New Roman"/>
        </w:rPr>
        <w:t xml:space="preserve"> (Russia)</w:t>
      </w:r>
      <w:r w:rsidRPr="006E077B">
        <w:rPr>
          <w:rFonts w:ascii="Times New Roman" w:hAnsi="Times New Roman" w:cs="Times New Roman"/>
        </w:rPr>
        <w:t xml:space="preserve"> macroeconomic data: Russian</w:t>
      </w:r>
      <w:r w:rsidR="006C4F54">
        <w:rPr>
          <w:rFonts w:ascii="Times New Roman" w:hAnsi="Times New Roman" w:cs="Times New Roman"/>
        </w:rPr>
        <w:t xml:space="preserve"> </w:t>
      </w:r>
      <w:r w:rsidR="006C4F54" w:rsidRPr="006E077B">
        <w:rPr>
          <w:rFonts w:ascii="Times New Roman" w:hAnsi="Times New Roman" w:cs="Times New Roman"/>
        </w:rPr>
        <w:t>system</w:t>
      </w:r>
      <w:r w:rsidRPr="006E077B">
        <w:rPr>
          <w:rFonts w:ascii="Times New Roman" w:hAnsi="Times New Roman" w:cs="Times New Roman"/>
        </w:rPr>
        <w:t xml:space="preserve"> </w:t>
      </w:r>
      <w:r w:rsidR="006C4F54">
        <w:rPr>
          <w:rFonts w:ascii="Times New Roman" w:hAnsi="Times New Roman" w:cs="Times New Roman"/>
        </w:rPr>
        <w:t xml:space="preserve">of </w:t>
      </w:r>
      <w:r w:rsidRPr="006E077B">
        <w:rPr>
          <w:rFonts w:ascii="Times New Roman" w:hAnsi="Times New Roman" w:cs="Times New Roman"/>
        </w:rPr>
        <w:t xml:space="preserve">national accounts </w:t>
      </w:r>
      <w:r w:rsidRPr="006E077B">
        <w:rPr>
          <w:rFonts w:ascii="Times New Roman" w:hAnsi="Times New Roman" w:cs="Times New Roman"/>
        </w:rPr>
        <w:t xml:space="preserve">(SNA), </w:t>
      </w:r>
      <w:r w:rsidR="006C4F54" w:rsidRPr="006C4F54">
        <w:rPr>
          <w:rFonts w:ascii="Times New Roman" w:hAnsi="Times New Roman" w:cs="Times New Roman"/>
        </w:rPr>
        <w:t>Federal State Statistics Service</w:t>
      </w:r>
      <w:r w:rsidR="006C4F54">
        <w:rPr>
          <w:rFonts w:ascii="Times New Roman" w:hAnsi="Times New Roman" w:cs="Times New Roman"/>
        </w:rPr>
        <w:t xml:space="preserve"> publications </w:t>
      </w:r>
      <w:r w:rsidR="006C4F54">
        <w:rPr>
          <w:rFonts w:ascii="Times New Roman" w:hAnsi="Times New Roman" w:cs="Times New Roman"/>
        </w:rPr>
        <w:t>«</w:t>
      </w:r>
      <w:r w:rsidR="006C4F54">
        <w:rPr>
          <w:rFonts w:ascii="Times New Roman" w:hAnsi="Times New Roman" w:cs="Times New Roman"/>
        </w:rPr>
        <w:t>Regions of Russia</w:t>
      </w:r>
      <w:r w:rsidR="006C4F54" w:rsidRPr="006E077B">
        <w:rPr>
          <w:rFonts w:ascii="Times New Roman" w:hAnsi="Times New Roman" w:cs="Times New Roman"/>
        </w:rPr>
        <w:t>»</w:t>
      </w:r>
      <w:r w:rsidRPr="006E077B">
        <w:rPr>
          <w:rFonts w:ascii="Times New Roman" w:hAnsi="Times New Roman" w:cs="Times New Roman"/>
        </w:rPr>
        <w:t xml:space="preserve">; (4) microdata from selective observations by </w:t>
      </w:r>
      <w:r w:rsidR="006C4F54" w:rsidRPr="006C4F54">
        <w:rPr>
          <w:rFonts w:ascii="Times New Roman" w:hAnsi="Times New Roman" w:cs="Times New Roman"/>
        </w:rPr>
        <w:t>Federal State Statistics Service</w:t>
      </w:r>
      <w:r w:rsidRPr="006E077B">
        <w:rPr>
          <w:rFonts w:ascii="Times New Roman" w:hAnsi="Times New Roman" w:cs="Times New Roman"/>
        </w:rPr>
        <w:t xml:space="preserve">: income and participation in social programs survey </w:t>
      </w:r>
      <w:r w:rsidRPr="006E077B">
        <w:rPr>
          <w:rFonts w:ascii="Times New Roman" w:hAnsi="Times New Roman" w:cs="Times New Roman"/>
        </w:rPr>
        <w:lastRenderedPageBreak/>
        <w:t>(</w:t>
      </w:r>
      <w:r w:rsidR="00466833">
        <w:rPr>
          <w:rFonts w:ascii="Times New Roman" w:hAnsi="Times New Roman" w:cs="Times New Roman"/>
        </w:rPr>
        <w:t>SOPI</w:t>
      </w:r>
      <w:r w:rsidR="00466833">
        <w:rPr>
          <w:rStyle w:val="a9"/>
          <w:rFonts w:ascii="Times New Roman" w:hAnsi="Times New Roman" w:cs="Times New Roman"/>
        </w:rPr>
        <w:footnoteReference w:id="1"/>
      </w:r>
      <w:r w:rsidRPr="006E077B">
        <w:rPr>
          <w:rFonts w:ascii="Times New Roman" w:hAnsi="Times New Roman" w:cs="Times New Roman"/>
        </w:rPr>
        <w:t xml:space="preserve">), </w:t>
      </w:r>
      <w:r w:rsidRPr="006E077B">
        <w:rPr>
          <w:rFonts w:ascii="Times New Roman" w:hAnsi="Times New Roman" w:cs="Times New Roman"/>
        </w:rPr>
        <w:t>survey</w:t>
      </w:r>
      <w:r w:rsidR="00466833">
        <w:rPr>
          <w:rFonts w:ascii="Times New Roman" w:hAnsi="Times New Roman" w:cs="Times New Roman"/>
        </w:rPr>
        <w:t xml:space="preserve"> of </w:t>
      </w:r>
      <w:r w:rsidR="00466833" w:rsidRPr="006E077B">
        <w:rPr>
          <w:rFonts w:ascii="Times New Roman" w:hAnsi="Times New Roman" w:cs="Times New Roman"/>
        </w:rPr>
        <w:t>household budget</w:t>
      </w:r>
      <w:r w:rsidR="00466833">
        <w:rPr>
          <w:rFonts w:ascii="Times New Roman" w:hAnsi="Times New Roman" w:cs="Times New Roman"/>
        </w:rPr>
        <w:t>s</w:t>
      </w:r>
      <w:r w:rsidRPr="006E077B">
        <w:rPr>
          <w:rFonts w:ascii="Times New Roman" w:hAnsi="Times New Roman" w:cs="Times New Roman"/>
        </w:rPr>
        <w:t xml:space="preserve"> </w:t>
      </w:r>
      <w:r w:rsidRPr="006E077B">
        <w:rPr>
          <w:rFonts w:ascii="Times New Roman" w:hAnsi="Times New Roman" w:cs="Times New Roman"/>
        </w:rPr>
        <w:t>(</w:t>
      </w:r>
      <w:r w:rsidR="00466833">
        <w:rPr>
          <w:rFonts w:ascii="Times New Roman" w:hAnsi="Times New Roman" w:cs="Times New Roman"/>
        </w:rPr>
        <w:t>SHB</w:t>
      </w:r>
      <w:r w:rsidR="00466833">
        <w:rPr>
          <w:rStyle w:val="a9"/>
          <w:rFonts w:ascii="Times New Roman" w:hAnsi="Times New Roman" w:cs="Times New Roman"/>
        </w:rPr>
        <w:footnoteReference w:id="2"/>
      </w:r>
      <w:r w:rsidRPr="006E077B">
        <w:rPr>
          <w:rFonts w:ascii="Times New Roman" w:hAnsi="Times New Roman" w:cs="Times New Roman"/>
        </w:rPr>
        <w:t xml:space="preserve">), time use survey, </w:t>
      </w:r>
      <w:r w:rsidR="00466833">
        <w:rPr>
          <w:rFonts w:ascii="Times New Roman" w:hAnsi="Times New Roman" w:cs="Times New Roman"/>
        </w:rPr>
        <w:t>comprehensive</w:t>
      </w:r>
      <w:r w:rsidRPr="006E077B">
        <w:rPr>
          <w:rFonts w:ascii="Times New Roman" w:hAnsi="Times New Roman" w:cs="Times New Roman"/>
        </w:rPr>
        <w:t xml:space="preserve"> observation of living conditions of the population (</w:t>
      </w:r>
      <w:r w:rsidR="00466833">
        <w:rPr>
          <w:rFonts w:ascii="Times New Roman" w:hAnsi="Times New Roman" w:cs="Times New Roman"/>
        </w:rPr>
        <w:t>COLC</w:t>
      </w:r>
      <w:r w:rsidR="00466833">
        <w:rPr>
          <w:rStyle w:val="a9"/>
          <w:rFonts w:ascii="Times New Roman" w:hAnsi="Times New Roman" w:cs="Times New Roman"/>
        </w:rPr>
        <w:footnoteReference w:id="3"/>
      </w:r>
      <w:r w:rsidRPr="006E077B">
        <w:rPr>
          <w:rFonts w:ascii="Times New Roman" w:hAnsi="Times New Roman" w:cs="Times New Roman"/>
        </w:rPr>
        <w:t xml:space="preserve">), </w:t>
      </w:r>
      <w:r w:rsidR="00F81388" w:rsidRPr="006E077B">
        <w:rPr>
          <w:rFonts w:ascii="Times New Roman" w:hAnsi="Times New Roman" w:cs="Times New Roman"/>
        </w:rPr>
        <w:t xml:space="preserve">survey </w:t>
      </w:r>
      <w:r w:rsidR="00F81388">
        <w:rPr>
          <w:rFonts w:ascii="Times New Roman" w:hAnsi="Times New Roman" w:cs="Times New Roman"/>
        </w:rPr>
        <w:t xml:space="preserve">of </w:t>
      </w:r>
      <w:r w:rsidRPr="006E077B">
        <w:rPr>
          <w:rFonts w:ascii="Times New Roman" w:hAnsi="Times New Roman" w:cs="Times New Roman"/>
        </w:rPr>
        <w:t xml:space="preserve">labor force </w:t>
      </w:r>
      <w:r w:rsidRPr="006E077B">
        <w:rPr>
          <w:rFonts w:ascii="Times New Roman" w:hAnsi="Times New Roman" w:cs="Times New Roman"/>
        </w:rPr>
        <w:t>(</w:t>
      </w:r>
      <w:r w:rsidR="00F81388">
        <w:rPr>
          <w:rFonts w:ascii="Times New Roman" w:hAnsi="Times New Roman" w:cs="Times New Roman"/>
        </w:rPr>
        <w:t>SLF</w:t>
      </w:r>
      <w:r w:rsidR="00F81388">
        <w:rPr>
          <w:rStyle w:val="a9"/>
          <w:rFonts w:ascii="Times New Roman" w:hAnsi="Times New Roman" w:cs="Times New Roman"/>
        </w:rPr>
        <w:footnoteReference w:id="4"/>
      </w:r>
      <w:r w:rsidRPr="006E077B">
        <w:rPr>
          <w:rFonts w:ascii="Times New Roman" w:hAnsi="Times New Roman" w:cs="Times New Roman"/>
        </w:rPr>
        <w:t>); (5) microdata from other selective sociologic</w:t>
      </w:r>
      <w:r w:rsidRPr="006E077B">
        <w:rPr>
          <w:rFonts w:ascii="Times New Roman" w:hAnsi="Times New Roman" w:cs="Times New Roman"/>
        </w:rPr>
        <w:t xml:space="preserve">al surveys, including: </w:t>
      </w:r>
      <w:r w:rsidR="00F81388" w:rsidRPr="00F81388">
        <w:rPr>
          <w:rFonts w:ascii="Times New Roman" w:hAnsi="Times New Roman" w:cs="Times New Roman"/>
        </w:rPr>
        <w:t xml:space="preserve">Russian Longitudinal Monitoring Survey </w:t>
      </w:r>
      <w:r w:rsidR="00F81388">
        <w:rPr>
          <w:rFonts w:ascii="Times New Roman" w:hAnsi="Times New Roman" w:cs="Times New Roman"/>
        </w:rPr>
        <w:t>at</w:t>
      </w:r>
      <w:r w:rsidR="00F81388" w:rsidRPr="00F81388">
        <w:rPr>
          <w:rFonts w:ascii="Times New Roman" w:hAnsi="Times New Roman" w:cs="Times New Roman"/>
        </w:rPr>
        <w:t xml:space="preserve"> HSE </w:t>
      </w:r>
      <w:r w:rsidRPr="006E077B">
        <w:rPr>
          <w:rFonts w:ascii="Times New Roman" w:hAnsi="Times New Roman" w:cs="Times New Roman"/>
        </w:rPr>
        <w:t xml:space="preserve">(annual data from 1994 to 2022), Institute of Social Policy's consumer </w:t>
      </w:r>
      <w:r w:rsidR="00F81388">
        <w:rPr>
          <w:rFonts w:ascii="Times New Roman" w:hAnsi="Times New Roman" w:cs="Times New Roman"/>
        </w:rPr>
        <w:t xml:space="preserve">behavior monitoring within the </w:t>
      </w:r>
      <w:r w:rsidR="00F81388" w:rsidRPr="00F81388">
        <w:rPr>
          <w:rFonts w:ascii="Times New Roman" w:hAnsi="Times New Roman" w:cs="Times New Roman"/>
        </w:rPr>
        <w:t>«</w:t>
      </w:r>
      <w:r w:rsidR="00F81388">
        <w:rPr>
          <w:rFonts w:ascii="Times New Roman" w:hAnsi="Times New Roman" w:cs="Times New Roman"/>
        </w:rPr>
        <w:t>Readiness for Change</w:t>
      </w:r>
      <w:r w:rsidR="003557DD">
        <w:rPr>
          <w:rStyle w:val="a9"/>
          <w:rFonts w:ascii="Times New Roman" w:hAnsi="Times New Roman" w:cs="Times New Roman"/>
        </w:rPr>
        <w:footnoteReference w:id="5"/>
      </w:r>
      <w:r w:rsidR="00F81388" w:rsidRPr="00F81388">
        <w:rPr>
          <w:rFonts w:ascii="Times New Roman" w:hAnsi="Times New Roman" w:cs="Times New Roman"/>
        </w:rPr>
        <w:t>»</w:t>
      </w:r>
      <w:r w:rsidRPr="006E077B">
        <w:rPr>
          <w:rFonts w:ascii="Times New Roman" w:hAnsi="Times New Roman" w:cs="Times New Roman"/>
        </w:rPr>
        <w:t xml:space="preserve"> survey (data for 2021, 2022, and 2023), s</w:t>
      </w:r>
      <w:r w:rsidR="003557DD">
        <w:rPr>
          <w:rFonts w:ascii="Times New Roman" w:hAnsi="Times New Roman" w:cs="Times New Roman"/>
        </w:rPr>
        <w:t xml:space="preserve">urvey </w:t>
      </w:r>
      <w:r w:rsidR="003557DD" w:rsidRPr="00F81388">
        <w:rPr>
          <w:rFonts w:ascii="Times New Roman" w:hAnsi="Times New Roman" w:cs="Times New Roman"/>
        </w:rPr>
        <w:t>«</w:t>
      </w:r>
      <w:r w:rsidR="003557DD" w:rsidRPr="003557DD">
        <w:t xml:space="preserve"> </w:t>
      </w:r>
      <w:r w:rsidR="003557DD" w:rsidRPr="003557DD">
        <w:rPr>
          <w:rFonts w:ascii="Times New Roman" w:hAnsi="Times New Roman" w:cs="Times New Roman"/>
        </w:rPr>
        <w:t>The Russians’ socio-economic coping strategies with the crisis»</w:t>
      </w:r>
      <w:r w:rsidRPr="006E077B">
        <w:rPr>
          <w:rFonts w:ascii="Times New Roman" w:hAnsi="Times New Roman" w:cs="Times New Roman"/>
        </w:rPr>
        <w:t xml:space="preserve"> by</w:t>
      </w:r>
      <w:r w:rsidR="003557DD" w:rsidRPr="003557DD">
        <w:rPr>
          <w:rFonts w:ascii="Times New Roman" w:hAnsi="Times New Roman" w:cs="Times New Roman"/>
        </w:rPr>
        <w:t xml:space="preserve"> </w:t>
      </w:r>
      <w:r w:rsidR="003557DD">
        <w:rPr>
          <w:rFonts w:ascii="Times New Roman" w:hAnsi="Times New Roman" w:cs="Times New Roman"/>
        </w:rPr>
        <w:t>the</w:t>
      </w:r>
      <w:r w:rsidRPr="006E077B">
        <w:rPr>
          <w:rFonts w:ascii="Times New Roman" w:hAnsi="Times New Roman" w:cs="Times New Roman"/>
        </w:rPr>
        <w:t xml:space="preserve"> </w:t>
      </w:r>
      <w:r w:rsidR="003557DD" w:rsidRPr="003557DD">
        <w:rPr>
          <w:rFonts w:ascii="Times New Roman" w:hAnsi="Times New Roman" w:cs="Times New Roman"/>
        </w:rPr>
        <w:t xml:space="preserve">Laboratory for Studies in Economic Sociology </w:t>
      </w:r>
      <w:r w:rsidRPr="006E077B">
        <w:rPr>
          <w:rFonts w:ascii="Times New Roman" w:hAnsi="Times New Roman" w:cs="Times New Roman"/>
        </w:rPr>
        <w:t>(L</w:t>
      </w:r>
      <w:r w:rsidR="003557DD">
        <w:rPr>
          <w:rFonts w:ascii="Times New Roman" w:hAnsi="Times New Roman" w:cs="Times New Roman"/>
        </w:rPr>
        <w:t>S</w:t>
      </w:r>
      <w:r w:rsidRPr="006E077B">
        <w:rPr>
          <w:rFonts w:ascii="Times New Roman" w:hAnsi="Times New Roman" w:cs="Times New Roman"/>
        </w:rPr>
        <w:t>ES</w:t>
      </w:r>
      <w:r w:rsidR="003557DD">
        <w:rPr>
          <w:rStyle w:val="a9"/>
          <w:rFonts w:ascii="Times New Roman" w:hAnsi="Times New Roman" w:cs="Times New Roman"/>
        </w:rPr>
        <w:footnoteReference w:id="6"/>
      </w:r>
      <w:r w:rsidRPr="006E077B">
        <w:rPr>
          <w:rFonts w:ascii="Times New Roman" w:hAnsi="Times New Roman" w:cs="Times New Roman"/>
        </w:rPr>
        <w:t xml:space="preserve">) at HSE (2022); digital transformation monitoring of the economy and society by </w:t>
      </w:r>
      <w:r w:rsidR="003557DD">
        <w:rPr>
          <w:rFonts w:ascii="Times New Roman" w:hAnsi="Times New Roman" w:cs="Times New Roman"/>
        </w:rPr>
        <w:t>ISSEK</w:t>
      </w:r>
      <w:r w:rsidRPr="006E077B">
        <w:rPr>
          <w:rFonts w:ascii="Times New Roman" w:hAnsi="Times New Roman" w:cs="Times New Roman"/>
        </w:rPr>
        <w:t xml:space="preserve"> HSE</w:t>
      </w:r>
      <w:r w:rsidR="003557DD">
        <w:rPr>
          <w:rStyle w:val="a9"/>
          <w:rFonts w:ascii="Times New Roman" w:hAnsi="Times New Roman" w:cs="Times New Roman"/>
        </w:rPr>
        <w:footnoteReference w:id="7"/>
      </w:r>
      <w:r w:rsidRPr="006E077B">
        <w:rPr>
          <w:rFonts w:ascii="Times New Roman" w:hAnsi="Times New Roman" w:cs="Times New Roman"/>
        </w:rPr>
        <w:t>, 2022; innovation behavior moni</w:t>
      </w:r>
      <w:r w:rsidRPr="006E077B">
        <w:rPr>
          <w:rFonts w:ascii="Times New Roman" w:hAnsi="Times New Roman" w:cs="Times New Roman"/>
        </w:rPr>
        <w:t xml:space="preserve">toring of the population by </w:t>
      </w:r>
      <w:r w:rsidR="003557DD">
        <w:rPr>
          <w:rFonts w:ascii="Times New Roman" w:hAnsi="Times New Roman" w:cs="Times New Roman"/>
        </w:rPr>
        <w:t>ISSEK</w:t>
      </w:r>
      <w:r w:rsidR="003557DD" w:rsidRPr="006E077B">
        <w:rPr>
          <w:rFonts w:ascii="Times New Roman" w:hAnsi="Times New Roman" w:cs="Times New Roman"/>
        </w:rPr>
        <w:t xml:space="preserve"> </w:t>
      </w:r>
      <w:r w:rsidRPr="006E077B">
        <w:rPr>
          <w:rFonts w:ascii="Times New Roman" w:hAnsi="Times New Roman" w:cs="Times New Roman"/>
        </w:rPr>
        <w:t>HSE, 2020; (6) dat</w:t>
      </w:r>
      <w:r w:rsidR="003557DD">
        <w:rPr>
          <w:rFonts w:ascii="Times New Roman" w:hAnsi="Times New Roman" w:cs="Times New Roman"/>
        </w:rPr>
        <w:t xml:space="preserve">abases of the research company </w:t>
      </w:r>
      <w:r w:rsidR="003557DD" w:rsidRPr="003557DD">
        <w:rPr>
          <w:rFonts w:ascii="Times New Roman" w:hAnsi="Times New Roman" w:cs="Times New Roman"/>
        </w:rPr>
        <w:t>«</w:t>
      </w:r>
      <w:proofErr w:type="spellStart"/>
      <w:r w:rsidRPr="006E077B">
        <w:rPr>
          <w:rFonts w:ascii="Times New Roman" w:hAnsi="Times New Roman" w:cs="Times New Roman"/>
        </w:rPr>
        <w:t>Mediascope</w:t>
      </w:r>
      <w:proofErr w:type="spellEnd"/>
      <w:r w:rsidR="003557DD" w:rsidRPr="003557DD">
        <w:rPr>
          <w:rFonts w:ascii="Times New Roman" w:hAnsi="Times New Roman" w:cs="Times New Roman"/>
        </w:rPr>
        <w:t>»</w:t>
      </w:r>
      <w:r w:rsidR="003557DD">
        <w:rPr>
          <w:rFonts w:ascii="Times New Roman" w:hAnsi="Times New Roman" w:cs="Times New Roman"/>
        </w:rPr>
        <w:t xml:space="preserve"> for 2023; (7) “</w:t>
      </w:r>
      <w:r w:rsidRPr="006E077B">
        <w:rPr>
          <w:rFonts w:ascii="Times New Roman" w:hAnsi="Times New Roman" w:cs="Times New Roman"/>
        </w:rPr>
        <w:t>big</w:t>
      </w:r>
      <w:r w:rsidR="003557DD">
        <w:rPr>
          <w:rFonts w:ascii="Times New Roman" w:hAnsi="Times New Roman" w:cs="Times New Roman"/>
        </w:rPr>
        <w:t>”</w:t>
      </w:r>
      <w:r w:rsidRPr="006E077B">
        <w:rPr>
          <w:rFonts w:ascii="Times New Roman" w:hAnsi="Times New Roman" w:cs="Times New Roman"/>
        </w:rPr>
        <w:t xml:space="preserve"> data from the Federal Tax</w:t>
      </w:r>
      <w:r w:rsidR="003557DD">
        <w:rPr>
          <w:rFonts w:ascii="Times New Roman" w:hAnsi="Times New Roman" w:cs="Times New Roman"/>
        </w:rPr>
        <w:t>ation</w:t>
      </w:r>
      <w:r w:rsidRPr="006E077B">
        <w:rPr>
          <w:rFonts w:ascii="Times New Roman" w:hAnsi="Times New Roman" w:cs="Times New Roman"/>
        </w:rPr>
        <w:t xml:space="preserve"> Service (FTS), access to which was obtained in November 2023, and the audit of which is carried out within the fra</w:t>
      </w:r>
      <w:r w:rsidRPr="006E077B">
        <w:rPr>
          <w:rFonts w:ascii="Times New Roman" w:hAnsi="Times New Roman" w:cs="Times New Roman"/>
        </w:rPr>
        <w:t>mework of the implementation of this project.</w:t>
      </w:r>
    </w:p>
    <w:p w:rsidR="00AB3899" w:rsidRPr="006E077B" w:rsidRDefault="00E2653A" w:rsidP="001935F8">
      <w:pPr>
        <w:pStyle w:val="a3"/>
        <w:numPr>
          <w:ilvl w:val="0"/>
          <w:numId w:val="2"/>
        </w:numPr>
        <w:tabs>
          <w:tab w:val="left" w:pos="707"/>
        </w:tabs>
        <w:spacing w:after="0" w:line="360" w:lineRule="auto"/>
        <w:ind w:left="0" w:firstLine="709"/>
        <w:jc w:val="both"/>
        <w:rPr>
          <w:rFonts w:ascii="Times New Roman" w:hAnsi="Times New Roman" w:cs="Times New Roman"/>
        </w:rPr>
      </w:pPr>
      <w:r w:rsidRPr="001935F8">
        <w:rPr>
          <w:rFonts w:ascii="Times New Roman" w:hAnsi="Times New Roman" w:cs="Times New Roman"/>
          <w:b/>
        </w:rPr>
        <w:t>Results of the work</w:t>
      </w:r>
      <w:r w:rsidRPr="006E077B">
        <w:rPr>
          <w:rFonts w:ascii="Times New Roman" w:hAnsi="Times New Roman" w:cs="Times New Roman"/>
        </w:rPr>
        <w:t>:</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A</w:t>
      </w:r>
      <w:r w:rsidR="00E2653A" w:rsidRPr="006E077B">
        <w:rPr>
          <w:rFonts w:ascii="Times New Roman" w:hAnsi="Times New Roman" w:cs="Times New Roman"/>
        </w:rPr>
        <w:t xml:space="preserve"> systematic review of approaches to studying consumption, consumer behavior, and time budgets of the population within the fields of economics, statistics, sociology, psychology, </w:t>
      </w:r>
      <w:r w:rsidR="00E2653A" w:rsidRPr="006E077B">
        <w:rPr>
          <w:rFonts w:ascii="Times New Roman" w:hAnsi="Times New Roman" w:cs="Times New Roman"/>
        </w:rPr>
        <w:t>and marketing.</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Development of</w:t>
      </w:r>
      <w:r w:rsidR="00E2653A" w:rsidRPr="006E077B">
        <w:rPr>
          <w:rFonts w:ascii="Times New Roman" w:hAnsi="Times New Roman" w:cs="Times New Roman"/>
        </w:rPr>
        <w:t xml:space="preserve"> methodology for assessing incomes, expenditures, and savings at micro and macroeconomic levels, considering changes in the </w:t>
      </w:r>
      <w:r w:rsidRPr="006E077B">
        <w:rPr>
          <w:rFonts w:ascii="Times New Roman" w:hAnsi="Times New Roman" w:cs="Times New Roman"/>
        </w:rPr>
        <w:t xml:space="preserve">system </w:t>
      </w:r>
      <w:r>
        <w:rPr>
          <w:rFonts w:ascii="Times New Roman" w:hAnsi="Times New Roman" w:cs="Times New Roman"/>
        </w:rPr>
        <w:t xml:space="preserve">of </w:t>
      </w:r>
      <w:r w:rsidR="00E2653A" w:rsidRPr="006E077B">
        <w:rPr>
          <w:rFonts w:ascii="Times New Roman" w:hAnsi="Times New Roman" w:cs="Times New Roman"/>
        </w:rPr>
        <w:t xml:space="preserve">national accounts </w:t>
      </w:r>
      <w:r w:rsidR="00E2653A" w:rsidRPr="006E077B">
        <w:rPr>
          <w:rFonts w:ascii="Times New Roman" w:hAnsi="Times New Roman" w:cs="Times New Roman"/>
        </w:rPr>
        <w:t>(SNA) prepared by international organizations.</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Development of</w:t>
      </w:r>
      <w:r w:rsidR="00E2653A" w:rsidRPr="006E077B">
        <w:rPr>
          <w:rFonts w:ascii="Times New Roman" w:hAnsi="Times New Roman" w:cs="Times New Roman"/>
        </w:rPr>
        <w:t xml:space="preserve"> tools for empirical rese</w:t>
      </w:r>
      <w:r w:rsidR="00E2653A" w:rsidRPr="006E077B">
        <w:rPr>
          <w:rFonts w:ascii="Times New Roman" w:hAnsi="Times New Roman" w:cs="Times New Roman"/>
        </w:rPr>
        <w:t>arch on the level and dynamics of consumption in regions and prepared a new database of statistical data on consumption indicators in regions from 2011 onwards.</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 xml:space="preserve">Development </w:t>
      </w:r>
      <w:r w:rsidR="00E2653A" w:rsidRPr="006E077B">
        <w:rPr>
          <w:rFonts w:ascii="Times New Roman" w:hAnsi="Times New Roman" w:cs="Times New Roman"/>
        </w:rPr>
        <w:t xml:space="preserve">and </w:t>
      </w:r>
      <w:r>
        <w:rPr>
          <w:rFonts w:ascii="Times New Roman" w:hAnsi="Times New Roman" w:cs="Times New Roman"/>
        </w:rPr>
        <w:t>test of</w:t>
      </w:r>
      <w:r w:rsidR="00E2653A" w:rsidRPr="006E077B">
        <w:rPr>
          <w:rFonts w:ascii="Times New Roman" w:hAnsi="Times New Roman" w:cs="Times New Roman"/>
        </w:rPr>
        <w:t xml:space="preserve"> a toolkit for sociological research to analyze and monitor the economic be</w:t>
      </w:r>
      <w:r w:rsidR="00E2653A" w:rsidRPr="006E077B">
        <w:rPr>
          <w:rFonts w:ascii="Times New Roman" w:hAnsi="Times New Roman" w:cs="Times New Roman"/>
        </w:rPr>
        <w:t>havior of households in Russia, including high-income population groups. The toolkit for assessing time budgets based on a simplified adapted diary method was tested. The methodology for studying subjective satisfaction with time budgets was refined, along</w:t>
      </w:r>
      <w:r w:rsidR="00E2653A" w:rsidRPr="006E077B">
        <w:rPr>
          <w:rFonts w:ascii="Times New Roman" w:hAnsi="Times New Roman" w:cs="Times New Roman"/>
        </w:rPr>
        <w:t xml:space="preserve"> with methodological approaches to studying time budgets, considering parallel activities and the distribution of activities over time intervals during the day.</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Conduction of</w:t>
      </w:r>
      <w:r w:rsidR="00E2653A" w:rsidRPr="006E077B">
        <w:rPr>
          <w:rFonts w:ascii="Times New Roman" w:hAnsi="Times New Roman" w:cs="Times New Roman"/>
        </w:rPr>
        <w:t xml:space="preserve"> three waves of population surveys on issues of economic behavior of households (EBH, </w:t>
      </w:r>
      <w:r w:rsidR="00E2653A" w:rsidRPr="006E077B">
        <w:rPr>
          <w:rFonts w:ascii="Times New Roman" w:hAnsi="Times New Roman" w:cs="Times New Roman"/>
        </w:rPr>
        <w:t xml:space="preserve">sample 1 wave N=6000; sample 2 and 3 waves = 6700 respondents 18 years and </w:t>
      </w:r>
      <w:r w:rsidR="00E2653A" w:rsidRPr="006E077B">
        <w:rPr>
          <w:rFonts w:ascii="Times New Roman" w:hAnsi="Times New Roman" w:cs="Times New Roman"/>
        </w:rPr>
        <w:lastRenderedPageBreak/>
        <w:t>older). Microdata bases of population surveys on consumption and time budgets were prepared, containing a panel component.</w:t>
      </w:r>
    </w:p>
    <w:p w:rsidR="00AB3899" w:rsidRPr="006E077B" w:rsidRDefault="00E2653A"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sidRPr="006E077B">
        <w:rPr>
          <w:rFonts w:ascii="Times New Roman" w:hAnsi="Times New Roman" w:cs="Times New Roman"/>
        </w:rPr>
        <w:t xml:space="preserve">According to the data from the first wave of </w:t>
      </w:r>
      <w:r w:rsidR="0036487C">
        <w:rPr>
          <w:rFonts w:ascii="Times New Roman" w:hAnsi="Times New Roman" w:cs="Times New Roman"/>
        </w:rPr>
        <w:t>HEB</w:t>
      </w:r>
      <w:r w:rsidRPr="006E077B">
        <w:rPr>
          <w:rFonts w:ascii="Times New Roman" w:hAnsi="Times New Roman" w:cs="Times New Roman"/>
        </w:rPr>
        <w:t>, approxim</w:t>
      </w:r>
      <w:r w:rsidRPr="006E077B">
        <w:rPr>
          <w:rFonts w:ascii="Times New Roman" w:hAnsi="Times New Roman" w:cs="Times New Roman"/>
        </w:rPr>
        <w:t xml:space="preserve">ately 60% of Russians aged 18 and above report that their expenses are roughly equal to their incomes. For nearly every third Russian (32%), expenses are usually less than the amounts they receive. The majority of the population aged 18 and above believes </w:t>
      </w:r>
      <w:r w:rsidRPr="006E077B">
        <w:rPr>
          <w:rFonts w:ascii="Times New Roman" w:hAnsi="Times New Roman" w:cs="Times New Roman"/>
        </w:rPr>
        <w:t>that their financial situation has not changed in the last few months (75%), while others more often mention its deterioration (15%) rather than improvement (9%). In the coming months, two-thirds (65%) of respondents also do not expect any changes. However</w:t>
      </w:r>
      <w:r w:rsidRPr="006E077B">
        <w:rPr>
          <w:rFonts w:ascii="Times New Roman" w:hAnsi="Times New Roman" w:cs="Times New Roman"/>
        </w:rPr>
        <w:t>, Russians are more optimistic about the future: the segment hoping for an improvement in their financial situation (16%) exceeds the proportion expecting the opposite (11%). Compared to 2022, the consumer behavior of most respondents remained relatively s</w:t>
      </w:r>
      <w:r w:rsidRPr="006E077B">
        <w:rPr>
          <w:rFonts w:ascii="Times New Roman" w:hAnsi="Times New Roman" w:cs="Times New Roman"/>
        </w:rPr>
        <w:t xml:space="preserve">table by the summer of 2023 – they either do not buy specific goods and services or purchase them in the same volume. However, the share of buyers for many items in 2023 has decreased compared to 2022, but the consumer behavior of the remaining buyers has </w:t>
      </w:r>
      <w:r w:rsidRPr="006E077B">
        <w:rPr>
          <w:rFonts w:ascii="Times New Roman" w:hAnsi="Times New Roman" w:cs="Times New Roman"/>
        </w:rPr>
        <w:t>stabilized or even become more active. Most of the funds from their personal budget are spent by Russians on food, leisure, and utilities. Also, common payments include expenses for information and communication (including mobile communication and the inte</w:t>
      </w:r>
      <w:r w:rsidRPr="006E077B">
        <w:rPr>
          <w:rFonts w:ascii="Times New Roman" w:hAnsi="Times New Roman" w:cs="Times New Roman"/>
        </w:rPr>
        <w:t>rnet). In May-June 2023, the largest amounts were spent by Russians on travel, debt payments, and rental housing.</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Conduction of</w:t>
      </w:r>
      <w:r w:rsidR="00E2653A" w:rsidRPr="006E077B">
        <w:rPr>
          <w:rFonts w:ascii="Times New Roman" w:hAnsi="Times New Roman" w:cs="Times New Roman"/>
        </w:rPr>
        <w:t xml:space="preserve"> two waves of non-representative quantitative surveys of high-income (top decile by income) population groups (N</w:t>
      </w:r>
      <w:r>
        <w:rPr>
          <w:rFonts w:ascii="Times New Roman" w:hAnsi="Times New Roman" w:cs="Times New Roman"/>
        </w:rPr>
        <w:t xml:space="preserve"> </w:t>
      </w:r>
      <w:r w:rsidR="00E2653A" w:rsidRPr="006E077B">
        <w:rPr>
          <w:rFonts w:ascii="Times New Roman" w:hAnsi="Times New Roman" w:cs="Times New Roman"/>
        </w:rPr>
        <w:t>=</w:t>
      </w:r>
      <w:r>
        <w:rPr>
          <w:rFonts w:ascii="Times New Roman" w:hAnsi="Times New Roman" w:cs="Times New Roman"/>
        </w:rPr>
        <w:t xml:space="preserve"> </w:t>
      </w:r>
      <w:r w:rsidR="00E2653A" w:rsidRPr="006E077B">
        <w:rPr>
          <w:rFonts w:ascii="Times New Roman" w:hAnsi="Times New Roman" w:cs="Times New Roman"/>
        </w:rPr>
        <w:t xml:space="preserve">1000 individuals 18 </w:t>
      </w:r>
      <w:r w:rsidR="00E2653A" w:rsidRPr="006E077B">
        <w:rPr>
          <w:rFonts w:ascii="Times New Roman" w:hAnsi="Times New Roman" w:cs="Times New Roman"/>
        </w:rPr>
        <w:t>years and older in each wave). A microdata base of non-representative quantitative survey data was prepared.</w:t>
      </w:r>
    </w:p>
    <w:p w:rsidR="00AB3899" w:rsidRPr="006E077B" w:rsidRDefault="00E2653A"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sidRPr="006E077B">
        <w:rPr>
          <w:rFonts w:ascii="Times New Roman" w:hAnsi="Times New Roman" w:cs="Times New Roman"/>
        </w:rPr>
        <w:t>The d</w:t>
      </w:r>
      <w:r w:rsidR="0036487C">
        <w:rPr>
          <w:rFonts w:ascii="Times New Roman" w:hAnsi="Times New Roman" w:cs="Times New Roman"/>
        </w:rPr>
        <w:t>ata from the first wave of the “wealthy”</w:t>
      </w:r>
      <w:r w:rsidRPr="006E077B">
        <w:rPr>
          <w:rFonts w:ascii="Times New Roman" w:hAnsi="Times New Roman" w:cs="Times New Roman"/>
        </w:rPr>
        <w:t xml:space="preserve"> survey showed that a characteristic feature of representatives of the top decile is a complex income </w:t>
      </w:r>
      <w:r w:rsidRPr="006E077B">
        <w:rPr>
          <w:rFonts w:ascii="Times New Roman" w:hAnsi="Times New Roman" w:cs="Times New Roman"/>
        </w:rPr>
        <w:t>structure, including income from both labor and accumulated capital. Diversification of income sources allowed a quarter of respondents to maintain their income level in the last year, and just under a third even increased it (primarily due to returns in t</w:t>
      </w:r>
      <w:r w:rsidRPr="006E077B">
        <w:rPr>
          <w:rFonts w:ascii="Times New Roman" w:hAnsi="Times New Roman" w:cs="Times New Roman"/>
        </w:rPr>
        <w:t>he labor market or business, not investments). The key indicators of high status in the minds of this group's representatives are real estate and automobiles (or other means of transportation). More than three-quarters of respondents noted the unavailabili</w:t>
      </w:r>
      <w:r w:rsidRPr="006E077B">
        <w:rPr>
          <w:rFonts w:ascii="Times New Roman" w:hAnsi="Times New Roman" w:cs="Times New Roman"/>
        </w:rPr>
        <w:t>ty of usual goods and services due to sanctions pressure, and about 40% made large purchases under the influence of negative expectations of further dynamics.</w:t>
      </w:r>
    </w:p>
    <w:p w:rsidR="00AB3899" w:rsidRPr="006E077B" w:rsidRDefault="00E2653A"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sidRPr="006E077B">
        <w:rPr>
          <w:rFonts w:ascii="Times New Roman" w:hAnsi="Times New Roman" w:cs="Times New Roman"/>
        </w:rPr>
        <w:t>The analysis of time budgets for high-income groups showed that, similar to gender differences, t</w:t>
      </w:r>
      <w:r w:rsidRPr="006E077B">
        <w:rPr>
          <w:rFonts w:ascii="Times New Roman" w:hAnsi="Times New Roman" w:cs="Times New Roman"/>
        </w:rPr>
        <w:t xml:space="preserve">he time budgets of men and women in mass and most affluent layers are very similar: women spend more time on unpaid work than men, and in families with children, mothers spend more time on unpaid work than fathers. At the same time, representatives of the </w:t>
      </w:r>
      <w:r w:rsidRPr="006E077B">
        <w:rPr>
          <w:rFonts w:ascii="Times New Roman" w:hAnsi="Times New Roman" w:cs="Times New Roman"/>
        </w:rPr>
        <w:t xml:space="preserve">top decile </w:t>
      </w:r>
      <w:r w:rsidR="0036487C">
        <w:rPr>
          <w:rFonts w:ascii="Times New Roman" w:hAnsi="Times New Roman" w:cs="Times New Roman"/>
        </w:rPr>
        <w:t>by income are more inclined to “</w:t>
      </w:r>
      <w:r w:rsidRPr="006E077B">
        <w:rPr>
          <w:rFonts w:ascii="Times New Roman" w:hAnsi="Times New Roman" w:cs="Times New Roman"/>
        </w:rPr>
        <w:t>elite</w:t>
      </w:r>
      <w:r w:rsidR="0036487C">
        <w:rPr>
          <w:rFonts w:ascii="Times New Roman" w:hAnsi="Times New Roman" w:cs="Times New Roman"/>
        </w:rPr>
        <w:t>”</w:t>
      </w:r>
      <w:r w:rsidRPr="006E077B">
        <w:rPr>
          <w:rFonts w:ascii="Times New Roman" w:hAnsi="Times New Roman" w:cs="Times New Roman"/>
        </w:rPr>
        <w:t xml:space="preserve"> types of leisure; they read books more often, attend cultural and sports events, </w:t>
      </w:r>
      <w:r w:rsidRPr="006E077B">
        <w:rPr>
          <w:rFonts w:ascii="Times New Roman" w:hAnsi="Times New Roman" w:cs="Times New Roman"/>
        </w:rPr>
        <w:lastRenderedPageBreak/>
        <w:t>restaurants, and bars, and watch TV less. The most acute deprivation is the deprivation of sleep, observed in all examined so</w:t>
      </w:r>
      <w:r w:rsidRPr="006E077B">
        <w:rPr>
          <w:rFonts w:ascii="Times New Roman" w:hAnsi="Times New Roman" w:cs="Times New Roman"/>
        </w:rPr>
        <w:t>cio-demographic groups of the high-income population. It is also noted that wealthy people lack communication with spouses and other relatives, and in households with children – also communication and time for activities with children. Women more often not</w:t>
      </w:r>
      <w:r w:rsidRPr="006E077B">
        <w:rPr>
          <w:rFonts w:ascii="Times New Roman" w:hAnsi="Times New Roman" w:cs="Times New Roman"/>
        </w:rPr>
        <w:t xml:space="preserve">e a time deficit for almost all types of activities, except communication and play with children. </w:t>
      </w:r>
      <w:r w:rsidR="0036487C">
        <w:rPr>
          <w:rFonts w:ascii="Times New Roman" w:hAnsi="Times New Roman" w:cs="Times New Roman"/>
        </w:rPr>
        <w:t xml:space="preserve">Not only do men </w:t>
      </w:r>
      <w:r w:rsidR="0036487C">
        <w:rPr>
          <w:rFonts w:ascii="Times New Roman" w:hAnsi="Times New Roman" w:cs="Times New Roman"/>
        </w:rPr>
        <w:t xml:space="preserve">lack </w:t>
      </w:r>
      <w:r w:rsidR="0036487C">
        <w:rPr>
          <w:rFonts w:ascii="Times New Roman" w:hAnsi="Times New Roman" w:cs="Times New Roman"/>
        </w:rPr>
        <w:t>time for children</w:t>
      </w:r>
      <w:r w:rsidRPr="006E077B">
        <w:rPr>
          <w:rFonts w:ascii="Times New Roman" w:hAnsi="Times New Roman" w:cs="Times New Roman"/>
        </w:rPr>
        <w:t xml:space="preserve"> but it is</w:t>
      </w:r>
      <w:r w:rsidR="0036487C">
        <w:rPr>
          <w:rFonts w:ascii="Times New Roman" w:hAnsi="Times New Roman" w:cs="Times New Roman"/>
        </w:rPr>
        <w:t xml:space="preserve"> also</w:t>
      </w:r>
      <w:r w:rsidRPr="006E077B">
        <w:rPr>
          <w:rFonts w:ascii="Times New Roman" w:hAnsi="Times New Roman" w:cs="Times New Roman"/>
        </w:rPr>
        <w:t xml:space="preserve"> important to them, and this shortage negatively affects their quality of life according to subjective assessmen</w:t>
      </w:r>
      <w:r w:rsidRPr="006E077B">
        <w:rPr>
          <w:rFonts w:ascii="Times New Roman" w:hAnsi="Times New Roman" w:cs="Times New Roman"/>
        </w:rPr>
        <w:t>ts.</w:t>
      </w:r>
    </w:p>
    <w:p w:rsidR="00AB3899" w:rsidRPr="006E077B" w:rsidRDefault="0036487C" w:rsidP="001935F8">
      <w:pPr>
        <w:pStyle w:val="a3"/>
        <w:numPr>
          <w:ilvl w:val="1"/>
          <w:numId w:val="2"/>
        </w:numPr>
        <w:tabs>
          <w:tab w:val="left" w:pos="1414"/>
        </w:tabs>
        <w:spacing w:after="0" w:line="360" w:lineRule="auto"/>
        <w:ind w:left="0" w:firstLine="709"/>
        <w:jc w:val="both"/>
        <w:rPr>
          <w:rFonts w:ascii="Times New Roman" w:hAnsi="Times New Roman" w:cs="Times New Roman"/>
        </w:rPr>
      </w:pPr>
      <w:r>
        <w:rPr>
          <w:rFonts w:ascii="Times New Roman" w:hAnsi="Times New Roman" w:cs="Times New Roman"/>
        </w:rPr>
        <w:t>Conduction of</w:t>
      </w:r>
      <w:r w:rsidR="00E2653A" w:rsidRPr="006E077B">
        <w:rPr>
          <w:rFonts w:ascii="Times New Roman" w:hAnsi="Times New Roman" w:cs="Times New Roman"/>
        </w:rPr>
        <w:t xml:space="preserve"> two online surveys – one for youth aged 16-18 (N</w:t>
      </w:r>
      <w:r>
        <w:rPr>
          <w:rFonts w:ascii="Times New Roman" w:hAnsi="Times New Roman" w:cs="Times New Roman"/>
        </w:rPr>
        <w:t xml:space="preserve"> </w:t>
      </w:r>
      <w:r w:rsidR="00E2653A" w:rsidRPr="006E077B">
        <w:rPr>
          <w:rFonts w:ascii="Times New Roman" w:hAnsi="Times New Roman" w:cs="Times New Roman"/>
        </w:rPr>
        <w:t>=</w:t>
      </w:r>
      <w:r>
        <w:rPr>
          <w:rFonts w:ascii="Times New Roman" w:hAnsi="Times New Roman" w:cs="Times New Roman"/>
        </w:rPr>
        <w:t xml:space="preserve"> </w:t>
      </w:r>
      <w:r w:rsidR="00E2653A" w:rsidRPr="006E077B">
        <w:rPr>
          <w:rFonts w:ascii="Times New Roman" w:hAnsi="Times New Roman" w:cs="Times New Roman"/>
        </w:rPr>
        <w:t>2000) and one for respondents aged 25-59 with spouses (N</w:t>
      </w:r>
      <w:r>
        <w:rPr>
          <w:rFonts w:ascii="Times New Roman" w:hAnsi="Times New Roman" w:cs="Times New Roman"/>
        </w:rPr>
        <w:t xml:space="preserve"> </w:t>
      </w:r>
      <w:r w:rsidR="00E2653A" w:rsidRPr="006E077B">
        <w:rPr>
          <w:rFonts w:ascii="Times New Roman" w:hAnsi="Times New Roman" w:cs="Times New Roman"/>
        </w:rPr>
        <w:t>=</w:t>
      </w:r>
      <w:r>
        <w:rPr>
          <w:rFonts w:ascii="Times New Roman" w:hAnsi="Times New Roman" w:cs="Times New Roman"/>
        </w:rPr>
        <w:t xml:space="preserve"> </w:t>
      </w:r>
      <w:r w:rsidR="00E2653A" w:rsidRPr="006E077B">
        <w:rPr>
          <w:rFonts w:ascii="Times New Roman" w:hAnsi="Times New Roman" w:cs="Times New Roman"/>
        </w:rPr>
        <w:t>3000). Microdata bases of focused online survey data were prepared based on their results.</w:t>
      </w:r>
    </w:p>
    <w:p w:rsidR="00AB3899" w:rsidRPr="006E077B" w:rsidRDefault="00E2653A" w:rsidP="001935F8">
      <w:pPr>
        <w:pStyle w:val="a3"/>
        <w:numPr>
          <w:ilvl w:val="0"/>
          <w:numId w:val="2"/>
        </w:numPr>
        <w:spacing w:after="0" w:line="360" w:lineRule="auto"/>
        <w:ind w:left="0" w:firstLine="709"/>
        <w:jc w:val="both"/>
        <w:rPr>
          <w:rFonts w:ascii="Times New Roman" w:hAnsi="Times New Roman" w:cs="Times New Roman"/>
        </w:rPr>
      </w:pPr>
      <w:r w:rsidRPr="001935F8">
        <w:rPr>
          <w:rFonts w:ascii="Times New Roman" w:hAnsi="Times New Roman" w:cs="Times New Roman"/>
          <w:b/>
        </w:rPr>
        <w:t xml:space="preserve">Degree of </w:t>
      </w:r>
      <w:r w:rsidRPr="001935F8">
        <w:rPr>
          <w:rFonts w:ascii="Times New Roman" w:hAnsi="Times New Roman" w:cs="Times New Roman"/>
          <w:b/>
        </w:rPr>
        <w:t>implementation, recommendations for implementation, or implementation results (to be filled in if there is practical usability of the obtained results)</w:t>
      </w:r>
      <w:r w:rsidRPr="006E077B">
        <w:rPr>
          <w:rFonts w:ascii="Times New Roman" w:hAnsi="Times New Roman" w:cs="Times New Roman"/>
        </w:rPr>
        <w:t>: Some research results were utilized in the preparation of analytical notes and expert opinions in 2023.</w:t>
      </w:r>
      <w:r w:rsidRPr="006E077B">
        <w:rPr>
          <w:rFonts w:ascii="Times New Roman" w:hAnsi="Times New Roman" w:cs="Times New Roman"/>
        </w:rPr>
        <w:t xml:space="preserve"> The project results can be used for consulting government authorities and improving existing or developing new legislation in the areas of economic, tax, and social policies. Individual materials may be used for preparing courses for students, and the col</w:t>
      </w:r>
      <w:r w:rsidRPr="006E077B">
        <w:rPr>
          <w:rFonts w:ascii="Times New Roman" w:hAnsi="Times New Roman" w:cs="Times New Roman"/>
        </w:rPr>
        <w:t>lected datasets can be used for the empirical part of graduation theses.</w:t>
      </w:r>
    </w:p>
    <w:sectPr w:rsidR="00AB3899" w:rsidRPr="006E077B">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3A" w:rsidRDefault="00E2653A" w:rsidP="00466833">
      <w:r>
        <w:separator/>
      </w:r>
    </w:p>
  </w:endnote>
  <w:endnote w:type="continuationSeparator" w:id="0">
    <w:p w:rsidR="00E2653A" w:rsidRDefault="00E2653A" w:rsidP="004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3A" w:rsidRDefault="00E2653A" w:rsidP="00466833">
      <w:r>
        <w:separator/>
      </w:r>
    </w:p>
  </w:footnote>
  <w:footnote w:type="continuationSeparator" w:id="0">
    <w:p w:rsidR="00E2653A" w:rsidRDefault="00E2653A" w:rsidP="00466833">
      <w:r>
        <w:continuationSeparator/>
      </w:r>
    </w:p>
  </w:footnote>
  <w:footnote w:id="1">
    <w:p w:rsidR="00466833" w:rsidRPr="00466833" w:rsidRDefault="00466833">
      <w:pPr>
        <w:pStyle w:val="a7"/>
        <w:rPr>
          <w:lang w:val="ru-RU"/>
        </w:rPr>
      </w:pPr>
      <w:r>
        <w:rPr>
          <w:rStyle w:val="a9"/>
        </w:rPr>
        <w:footnoteRef/>
      </w:r>
      <w:r w:rsidRPr="00466833">
        <w:rPr>
          <w:lang w:val="ru-RU"/>
        </w:rPr>
        <w:t xml:space="preserve"> </w:t>
      </w:r>
      <w:r>
        <w:rPr>
          <w:rFonts w:ascii="Times New Roman" w:hAnsi="Times New Roman" w:cs="Times New Roman"/>
        </w:rPr>
        <w:t>Selective</w:t>
      </w:r>
      <w:r w:rsidRPr="00466833">
        <w:rPr>
          <w:rFonts w:ascii="Times New Roman" w:hAnsi="Times New Roman" w:cs="Times New Roman"/>
          <w:lang w:val="ru-RU"/>
        </w:rPr>
        <w:t xml:space="preserve"> </w:t>
      </w:r>
      <w:r>
        <w:rPr>
          <w:rFonts w:ascii="Times New Roman" w:hAnsi="Times New Roman" w:cs="Times New Roman"/>
        </w:rPr>
        <w:t>Observation</w:t>
      </w:r>
      <w:r w:rsidRPr="00466833">
        <w:rPr>
          <w:rFonts w:ascii="Times New Roman" w:hAnsi="Times New Roman" w:cs="Times New Roman"/>
          <w:lang w:val="ru-RU"/>
        </w:rPr>
        <w:t xml:space="preserve"> </w:t>
      </w:r>
      <w:r>
        <w:rPr>
          <w:rFonts w:ascii="Times New Roman" w:hAnsi="Times New Roman" w:cs="Times New Roman"/>
        </w:rPr>
        <w:t xml:space="preserve">of Population Incomes – </w:t>
      </w:r>
      <w:r>
        <w:rPr>
          <w:lang w:val="ru-RU"/>
        </w:rPr>
        <w:t>Выборочное наблюдение доходов населения (ВНДН)</w:t>
      </w:r>
    </w:p>
  </w:footnote>
  <w:footnote w:id="2">
    <w:p w:rsidR="00466833" w:rsidRPr="00466833" w:rsidRDefault="00466833">
      <w:pPr>
        <w:pStyle w:val="a7"/>
        <w:rPr>
          <w:lang w:val="ru-RU"/>
        </w:rPr>
      </w:pPr>
      <w:r>
        <w:rPr>
          <w:rStyle w:val="a9"/>
        </w:rPr>
        <w:footnoteRef/>
      </w:r>
      <w:r w:rsidRPr="00466833">
        <w:rPr>
          <w:lang w:val="ru-RU"/>
        </w:rPr>
        <w:t xml:space="preserve"> </w:t>
      </w:r>
      <w:r>
        <w:rPr>
          <w:lang w:val="ru-RU"/>
        </w:rPr>
        <w:t>Обследование бюджетов домашних хозяйств (ОБДХ)</w:t>
      </w:r>
    </w:p>
  </w:footnote>
  <w:footnote w:id="3">
    <w:p w:rsidR="00466833" w:rsidRPr="00F81388" w:rsidRDefault="00466833">
      <w:pPr>
        <w:pStyle w:val="a7"/>
        <w:rPr>
          <w:lang w:val="ru-RU"/>
        </w:rPr>
      </w:pPr>
      <w:r>
        <w:rPr>
          <w:rStyle w:val="a9"/>
        </w:rPr>
        <w:footnoteRef/>
      </w:r>
      <w:r w:rsidRPr="00F81388">
        <w:rPr>
          <w:lang w:val="ru-RU"/>
        </w:rPr>
        <w:t xml:space="preserve"> </w:t>
      </w:r>
      <w:r w:rsidR="00F81388">
        <w:rPr>
          <w:lang w:val="ru-RU"/>
        </w:rPr>
        <w:t>Комплексное наблюдение условий жизни населения (КОУЖ)</w:t>
      </w:r>
    </w:p>
  </w:footnote>
  <w:footnote w:id="4">
    <w:p w:rsidR="00F81388" w:rsidRDefault="00F81388">
      <w:pPr>
        <w:pStyle w:val="a7"/>
      </w:pPr>
      <w:r>
        <w:rPr>
          <w:rStyle w:val="a9"/>
        </w:rPr>
        <w:footnoteRef/>
      </w:r>
      <w:r>
        <w:t xml:space="preserve"> </w:t>
      </w:r>
      <w:r>
        <w:rPr>
          <w:lang w:val="ru-RU"/>
        </w:rPr>
        <w:t>О</w:t>
      </w:r>
      <w:proofErr w:type="spellStart"/>
      <w:r w:rsidRPr="00F81388">
        <w:t>бследовани</w:t>
      </w:r>
      <w:proofErr w:type="spellEnd"/>
      <w:r>
        <w:rPr>
          <w:lang w:val="ru-RU"/>
        </w:rPr>
        <w:t>е</w:t>
      </w:r>
      <w:r w:rsidRPr="00F81388">
        <w:t xml:space="preserve"> </w:t>
      </w:r>
      <w:proofErr w:type="spellStart"/>
      <w:r w:rsidRPr="00F81388">
        <w:t>рабочей</w:t>
      </w:r>
      <w:proofErr w:type="spellEnd"/>
      <w:r w:rsidRPr="00F81388">
        <w:t xml:space="preserve"> </w:t>
      </w:r>
      <w:proofErr w:type="spellStart"/>
      <w:r w:rsidRPr="00F81388">
        <w:t>силы</w:t>
      </w:r>
      <w:proofErr w:type="spellEnd"/>
      <w:r w:rsidRPr="00F81388">
        <w:t xml:space="preserve"> (ОРС)</w:t>
      </w:r>
    </w:p>
  </w:footnote>
  <w:footnote w:id="5">
    <w:p w:rsidR="003557DD" w:rsidRPr="003557DD" w:rsidRDefault="003557DD">
      <w:pPr>
        <w:pStyle w:val="a7"/>
        <w:rPr>
          <w:lang w:val="ru-RU"/>
        </w:rPr>
      </w:pPr>
      <w:r>
        <w:rPr>
          <w:rStyle w:val="a9"/>
        </w:rPr>
        <w:footnoteRef/>
      </w:r>
      <w:r>
        <w:t xml:space="preserve"> </w:t>
      </w:r>
      <w:proofErr w:type="spellStart"/>
      <w:r w:rsidRPr="003557DD">
        <w:t>Готовность</w:t>
      </w:r>
      <w:proofErr w:type="spellEnd"/>
      <w:r w:rsidRPr="003557DD">
        <w:t xml:space="preserve"> к </w:t>
      </w:r>
      <w:proofErr w:type="spellStart"/>
      <w:r w:rsidRPr="003557DD">
        <w:t>переменам</w:t>
      </w:r>
      <w:proofErr w:type="spellEnd"/>
    </w:p>
  </w:footnote>
  <w:footnote w:id="6">
    <w:p w:rsidR="003557DD" w:rsidRPr="003557DD" w:rsidRDefault="003557DD">
      <w:pPr>
        <w:pStyle w:val="a7"/>
        <w:rPr>
          <w:lang w:val="ru-RU"/>
        </w:rPr>
      </w:pPr>
      <w:r>
        <w:rPr>
          <w:rStyle w:val="a9"/>
        </w:rPr>
        <w:footnoteRef/>
      </w:r>
      <w:r w:rsidRPr="003557DD">
        <w:rPr>
          <w:lang w:val="ru-RU"/>
        </w:rPr>
        <w:t xml:space="preserve"> Лаборатория экономико-социологических исследований (</w:t>
      </w:r>
      <w:r>
        <w:rPr>
          <w:lang w:val="ru-RU"/>
        </w:rPr>
        <w:t>ЛЭСИ</w:t>
      </w:r>
      <w:r w:rsidRPr="003557DD">
        <w:rPr>
          <w:lang w:val="ru-RU"/>
        </w:rPr>
        <w:t>)</w:t>
      </w:r>
    </w:p>
  </w:footnote>
  <w:footnote w:id="7">
    <w:p w:rsidR="003557DD" w:rsidRDefault="003557DD">
      <w:pPr>
        <w:pStyle w:val="a7"/>
      </w:pPr>
      <w:r>
        <w:rPr>
          <w:rStyle w:val="a9"/>
        </w:rPr>
        <w:footnoteRef/>
      </w:r>
      <w:r>
        <w:t xml:space="preserve"> </w:t>
      </w:r>
      <w:r w:rsidRPr="003557DD">
        <w:t>Institute for Statistical Studies and Economics of Knowledge</w:t>
      </w:r>
      <w:r>
        <w:t xml:space="preserve"> – </w:t>
      </w:r>
      <w:proofErr w:type="spellStart"/>
      <w:r w:rsidRPr="003557DD">
        <w:t>Институт</w:t>
      </w:r>
      <w:proofErr w:type="spellEnd"/>
      <w:r w:rsidRPr="003557DD">
        <w:t xml:space="preserve"> </w:t>
      </w:r>
      <w:proofErr w:type="spellStart"/>
      <w:r w:rsidRPr="003557DD">
        <w:t>статистических</w:t>
      </w:r>
      <w:proofErr w:type="spellEnd"/>
      <w:r w:rsidRPr="003557DD">
        <w:t xml:space="preserve"> </w:t>
      </w:r>
      <w:proofErr w:type="spellStart"/>
      <w:r w:rsidRPr="003557DD">
        <w:t>исследований</w:t>
      </w:r>
      <w:proofErr w:type="spellEnd"/>
      <w:r w:rsidRPr="003557DD">
        <w:t xml:space="preserve"> и </w:t>
      </w:r>
      <w:proofErr w:type="spellStart"/>
      <w:r w:rsidRPr="003557DD">
        <w:t>экономики</w:t>
      </w:r>
      <w:proofErr w:type="spellEnd"/>
      <w:r w:rsidRPr="003557DD">
        <w:t xml:space="preserve"> </w:t>
      </w:r>
      <w:proofErr w:type="spellStart"/>
      <w:r w:rsidRPr="003557DD">
        <w:t>знаний</w:t>
      </w:r>
      <w:proofErr w:type="spellEnd"/>
      <w:r>
        <w:t xml:space="preserve"> (</w:t>
      </w:r>
      <w:r>
        <w:rPr>
          <w:lang w:val="ru-RU"/>
        </w:rPr>
        <w:t>ИСИЭЗ</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B200A"/>
    <w:multiLevelType w:val="multilevel"/>
    <w:tmpl w:val="DDBCEFB0"/>
    <w:lvl w:ilvl="0">
      <w:start w:val="4"/>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49BA3ABB"/>
    <w:multiLevelType w:val="multilevel"/>
    <w:tmpl w:val="9BB4DF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F4C4DD2"/>
    <w:multiLevelType w:val="hybridMultilevel"/>
    <w:tmpl w:val="6ECABC50"/>
    <w:lvl w:ilvl="0" w:tplc="0520FF44">
      <w:start w:val="1"/>
      <w:numFmt w:val="decimal"/>
      <w:lvlText w:val="%1."/>
      <w:lvlJc w:val="left"/>
      <w:pPr>
        <w:ind w:left="1712" w:hanging="360"/>
      </w:pPr>
      <w:rPr>
        <w:rFonts w:ascii="Times New Roman" w:hAnsi="Times New Roman" w:hint="default"/>
        <w:b w:val="0"/>
        <w:i w:val="0"/>
        <w:color w:val="auto"/>
        <w:sz w:val="24"/>
        <w:u w:val="none"/>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15:restartNumberingAfterBreak="0">
    <w:nsid w:val="58FA3DA7"/>
    <w:multiLevelType w:val="multilevel"/>
    <w:tmpl w:val="DEB4421C"/>
    <w:lvl w:ilvl="0">
      <w:start w:val="1"/>
      <w:numFmt w:val="decimal"/>
      <w:lvlText w:val="%1."/>
      <w:lvlJc w:val="left"/>
      <w:pPr>
        <w:tabs>
          <w:tab w:val="num" w:pos="707"/>
        </w:tabs>
        <w:ind w:left="707" w:hanging="283"/>
      </w:pPr>
      <w:rPr>
        <w:rFonts w:ascii="Times New Roman" w:hAnsi="Times New Roman" w:hint="default"/>
        <w:b/>
        <w:i w:val="0"/>
        <w:color w:val="auto"/>
        <w:sz w:val="24"/>
        <w:u w:val="non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99"/>
    <w:rsid w:val="000F5350"/>
    <w:rsid w:val="001935F8"/>
    <w:rsid w:val="003557DD"/>
    <w:rsid w:val="0036487C"/>
    <w:rsid w:val="00466833"/>
    <w:rsid w:val="006C4F54"/>
    <w:rsid w:val="006E077B"/>
    <w:rsid w:val="00AB3899"/>
    <w:rsid w:val="00E2653A"/>
    <w:rsid w:val="00F8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A85"/>
  <w15:docId w15:val="{3E6EBD33-7192-49B5-B1C5-174A8DC5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ascii="Liberation Sans" w:eastAsia="Noto Sans CJK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6">
    <w:name w:val="???????"/>
    <w:qFormat/>
    <w:pPr>
      <w:widowControl w:val="0"/>
    </w:pPr>
    <w:rPr>
      <w:rFonts w:ascii="NTTimes/Cyrillic" w:eastAsia="Times New Roman" w:hAnsi="NTTimes/Cyrillic" w:cs="Times New Roman"/>
      <w:sz w:val="20"/>
      <w:szCs w:val="20"/>
      <w:lang w:eastAsia="ru-RU"/>
    </w:rPr>
  </w:style>
  <w:style w:type="paragraph" w:styleId="a7">
    <w:name w:val="footnote text"/>
    <w:basedOn w:val="a"/>
    <w:link w:val="a8"/>
    <w:uiPriority w:val="99"/>
    <w:semiHidden/>
    <w:unhideWhenUsed/>
    <w:rsid w:val="00466833"/>
    <w:rPr>
      <w:rFonts w:cs="Mangal"/>
      <w:sz w:val="20"/>
      <w:szCs w:val="18"/>
    </w:rPr>
  </w:style>
  <w:style w:type="character" w:customStyle="1" w:styleId="a8">
    <w:name w:val="Текст сноски Знак"/>
    <w:basedOn w:val="a0"/>
    <w:link w:val="a7"/>
    <w:uiPriority w:val="99"/>
    <w:semiHidden/>
    <w:rsid w:val="00466833"/>
    <w:rPr>
      <w:rFonts w:cs="Mangal"/>
      <w:sz w:val="20"/>
      <w:szCs w:val="18"/>
    </w:rPr>
  </w:style>
  <w:style w:type="character" w:styleId="a9">
    <w:name w:val="footnote reference"/>
    <w:basedOn w:val="a0"/>
    <w:uiPriority w:val="99"/>
    <w:semiHidden/>
    <w:unhideWhenUsed/>
    <w:rsid w:val="00466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47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9995-9D96-4888-9F5A-243406DF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Анна Александровна</dc:creator>
  <dc:description/>
  <cp:lastModifiedBy>Кузнецова Анна Александровна</cp:lastModifiedBy>
  <cp:revision>3</cp:revision>
  <dcterms:created xsi:type="dcterms:W3CDTF">2023-12-19T16:24:00Z</dcterms:created>
  <dcterms:modified xsi:type="dcterms:W3CDTF">2023-12-19T17:34:00Z</dcterms:modified>
  <dc:language>en-US</dc:language>
</cp:coreProperties>
</file>