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D" w:rsidRPr="003B75E2" w:rsidRDefault="0004484D" w:rsidP="002E0172">
      <w:pPr>
        <w:tabs>
          <w:tab w:val="left" w:pos="2490"/>
        </w:tabs>
        <w:ind w:left="5387"/>
        <w:rPr>
          <w:sz w:val="26"/>
          <w:szCs w:val="26"/>
        </w:rPr>
      </w:pPr>
      <w:r w:rsidRPr="003B75E2">
        <w:rPr>
          <w:sz w:val="26"/>
          <w:szCs w:val="26"/>
        </w:rPr>
        <w:t>Annex No. 2</w:t>
      </w:r>
    </w:p>
    <w:p w:rsidR="0004484D" w:rsidRPr="00966CA7" w:rsidRDefault="0004484D" w:rsidP="0004484D">
      <w:pPr>
        <w:tabs>
          <w:tab w:val="left" w:pos="2490"/>
        </w:tabs>
        <w:ind w:left="5387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</w:t>
      </w:r>
      <w:r w:rsidR="00A043AE" w:rsidRPr="003B75E2">
        <w:rPr>
          <w:sz w:val="26"/>
          <w:szCs w:val="26"/>
        </w:rPr>
        <w:t xml:space="preserve">Regulations on Scholarships and Other </w:t>
      </w:r>
      <w:r w:rsidR="00A043AE">
        <w:rPr>
          <w:sz w:val="26"/>
          <w:szCs w:val="26"/>
        </w:rPr>
        <w:t>Types</w:t>
      </w:r>
      <w:r w:rsidR="00A043AE" w:rsidRPr="003B75E2">
        <w:rPr>
          <w:sz w:val="26"/>
          <w:szCs w:val="26"/>
        </w:rPr>
        <w:t xml:space="preserve"> of Financial Support </w:t>
      </w:r>
      <w:r w:rsidR="00A043AE">
        <w:rPr>
          <w:sz w:val="26"/>
          <w:szCs w:val="26"/>
        </w:rPr>
        <w:t>for</w:t>
      </w:r>
      <w:r w:rsidR="00A043AE" w:rsidRPr="003B75E2">
        <w:rPr>
          <w:sz w:val="26"/>
          <w:szCs w:val="26"/>
        </w:rPr>
        <w:t xml:space="preserve"> HSE</w:t>
      </w:r>
      <w:r w:rsidR="00A043AE" w:rsidRPr="00F11146">
        <w:rPr>
          <w:sz w:val="26"/>
          <w:szCs w:val="26"/>
          <w:lang w:val="en-US"/>
        </w:rPr>
        <w:t xml:space="preserve"> </w:t>
      </w:r>
      <w:r w:rsidR="00A043AE">
        <w:rPr>
          <w:sz w:val="26"/>
          <w:szCs w:val="26"/>
          <w:lang w:val="en-US"/>
        </w:rPr>
        <w:t>University</w:t>
      </w:r>
      <w:r w:rsidR="00A043AE" w:rsidRPr="003B75E2">
        <w:rPr>
          <w:sz w:val="26"/>
          <w:szCs w:val="26"/>
        </w:rPr>
        <w:t xml:space="preserve"> Students</w:t>
      </w:r>
    </w:p>
    <w:p w:rsidR="002E0172" w:rsidRDefault="002E0172" w:rsidP="002E0172">
      <w:pPr>
        <w:ind w:left="5387"/>
        <w:contextualSpacing/>
        <w:jc w:val="both"/>
        <w:rPr>
          <w:sz w:val="26"/>
          <w:szCs w:val="26"/>
        </w:rPr>
      </w:pP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with</w:t>
      </w:r>
      <w:proofErr w:type="gramEnd"/>
      <w:r w:rsidRPr="002E0172">
        <w:rPr>
          <w:sz w:val="26"/>
          <w:szCs w:val="26"/>
        </w:rPr>
        <w:t xml:space="preserve"> amendments approved by 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HSE </w:t>
      </w:r>
      <w:r w:rsidR="00A043AE">
        <w:rPr>
          <w:sz w:val="26"/>
          <w:szCs w:val="26"/>
          <w:lang w:val="en-US"/>
        </w:rPr>
        <w:t>University</w:t>
      </w:r>
      <w:r w:rsidR="00A043AE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Academic Council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>Minutes No. 5, dated April 28, 2017</w:t>
      </w:r>
      <w:r w:rsidR="00A043AE">
        <w:rPr>
          <w:sz w:val="26"/>
          <w:szCs w:val="26"/>
        </w:rPr>
        <w:t xml:space="preserve">, </w:t>
      </w:r>
      <w:r w:rsidRPr="002E0172">
        <w:rPr>
          <w:sz w:val="26"/>
          <w:szCs w:val="26"/>
        </w:rPr>
        <w:t xml:space="preserve"> 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enacted</w:t>
      </w:r>
      <w:proofErr w:type="gramEnd"/>
      <w:r w:rsidRPr="002E0172">
        <w:rPr>
          <w:sz w:val="26"/>
          <w:szCs w:val="26"/>
        </w:rPr>
        <w:t xml:space="preserve"> by HSE </w:t>
      </w:r>
      <w:r w:rsidR="00A043AE">
        <w:rPr>
          <w:sz w:val="26"/>
          <w:szCs w:val="26"/>
          <w:lang w:val="en-US"/>
        </w:rPr>
        <w:t>University</w:t>
      </w:r>
      <w:r w:rsidR="00A043AE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 xml:space="preserve">Directive </w:t>
      </w:r>
      <w:r w:rsidR="00A043AE">
        <w:rPr>
          <w:sz w:val="26"/>
          <w:szCs w:val="26"/>
          <w:lang w:val="en-US"/>
        </w:rPr>
        <w:t xml:space="preserve">No. </w:t>
      </w:r>
      <w:r w:rsidRPr="002E0172">
        <w:rPr>
          <w:sz w:val="26"/>
          <w:szCs w:val="26"/>
        </w:rPr>
        <w:t>6.18.1-01/3005-21</w:t>
      </w:r>
      <w:r w:rsidR="00AE662C">
        <w:rPr>
          <w:sz w:val="26"/>
          <w:szCs w:val="26"/>
        </w:rPr>
        <w:t>,</w:t>
      </w:r>
      <w:r w:rsid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dated May 30, 2017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with</w:t>
      </w:r>
      <w:proofErr w:type="gramEnd"/>
      <w:r w:rsidRPr="002E0172">
        <w:rPr>
          <w:sz w:val="26"/>
          <w:szCs w:val="26"/>
        </w:rPr>
        <w:t xml:space="preserve"> amendments approved by 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HSE </w:t>
      </w:r>
      <w:r w:rsidR="00A043AE">
        <w:rPr>
          <w:sz w:val="26"/>
          <w:szCs w:val="26"/>
          <w:lang w:val="en-US"/>
        </w:rPr>
        <w:t>University</w:t>
      </w:r>
      <w:r w:rsidR="00A043AE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Academic Council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>Minutes No. 7, dated June 23, 2017</w:t>
      </w:r>
      <w:r w:rsidR="00A043AE">
        <w:rPr>
          <w:sz w:val="26"/>
          <w:szCs w:val="26"/>
        </w:rPr>
        <w:t>,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enacted</w:t>
      </w:r>
      <w:proofErr w:type="gramEnd"/>
      <w:r w:rsidRPr="002E0172">
        <w:rPr>
          <w:sz w:val="26"/>
          <w:szCs w:val="26"/>
        </w:rPr>
        <w:t xml:space="preserve"> by HSE </w:t>
      </w:r>
      <w:r w:rsidR="00A043AE">
        <w:rPr>
          <w:sz w:val="26"/>
          <w:szCs w:val="26"/>
          <w:lang w:val="en-US"/>
        </w:rPr>
        <w:t>University</w:t>
      </w:r>
      <w:r w:rsidR="00A043AE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 xml:space="preserve">Directive </w:t>
      </w:r>
      <w:r w:rsidR="00A043AE">
        <w:rPr>
          <w:sz w:val="26"/>
          <w:szCs w:val="26"/>
        </w:rPr>
        <w:t xml:space="preserve">No. </w:t>
      </w:r>
      <w:r w:rsidRPr="002E0172">
        <w:rPr>
          <w:sz w:val="26"/>
          <w:szCs w:val="26"/>
        </w:rPr>
        <w:t>6.18.1-01/2807-05</w:t>
      </w:r>
      <w:r w:rsidR="00AE662C">
        <w:rPr>
          <w:sz w:val="26"/>
          <w:szCs w:val="26"/>
        </w:rPr>
        <w:t>,</w:t>
      </w:r>
      <w:r w:rsid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dated July 28, 2017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with</w:t>
      </w:r>
      <w:proofErr w:type="gramEnd"/>
      <w:r w:rsidRPr="002E0172">
        <w:rPr>
          <w:sz w:val="26"/>
          <w:szCs w:val="26"/>
        </w:rPr>
        <w:t xml:space="preserve"> amendments approved by 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HSE </w:t>
      </w:r>
      <w:r w:rsidR="00A043AE">
        <w:rPr>
          <w:sz w:val="26"/>
          <w:szCs w:val="26"/>
          <w:lang w:val="en-US"/>
        </w:rPr>
        <w:t>University</w:t>
      </w:r>
      <w:r w:rsidR="00A043AE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Academic Council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Minutes </w:t>
      </w:r>
      <w:r w:rsidR="002E0172">
        <w:rPr>
          <w:sz w:val="26"/>
          <w:szCs w:val="26"/>
        </w:rPr>
        <w:t>No. 11, dated November 24, 2017</w:t>
      </w:r>
      <w:r w:rsidR="00A043AE">
        <w:rPr>
          <w:sz w:val="26"/>
          <w:szCs w:val="26"/>
        </w:rPr>
        <w:t>,</w:t>
      </w:r>
      <w:r w:rsid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enacted by HSE</w:t>
      </w:r>
      <w:r w:rsidR="00A043AE">
        <w:rPr>
          <w:sz w:val="26"/>
          <w:szCs w:val="26"/>
        </w:rPr>
        <w:t xml:space="preserve"> </w:t>
      </w:r>
      <w:r w:rsidR="00A043AE">
        <w:rPr>
          <w:sz w:val="26"/>
          <w:szCs w:val="26"/>
          <w:lang w:val="en-US"/>
        </w:rPr>
        <w:t>University</w:t>
      </w:r>
      <w:r w:rsidRPr="002E0172">
        <w:rPr>
          <w:sz w:val="26"/>
          <w:szCs w:val="26"/>
        </w:rPr>
        <w:t xml:space="preserve"> Directive </w:t>
      </w:r>
      <w:r w:rsidR="00A043AE">
        <w:rPr>
          <w:sz w:val="26"/>
          <w:szCs w:val="26"/>
        </w:rPr>
        <w:t xml:space="preserve">No. </w:t>
      </w:r>
      <w:r w:rsidRPr="002E0172">
        <w:rPr>
          <w:sz w:val="26"/>
          <w:szCs w:val="26"/>
        </w:rPr>
        <w:t>6.18.1-01/1312-07</w:t>
      </w:r>
      <w:r w:rsidR="00AE662C">
        <w:rPr>
          <w:sz w:val="26"/>
          <w:szCs w:val="26"/>
        </w:rPr>
        <w:t>,</w:t>
      </w:r>
      <w:r w:rsid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dated December 13, 2017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with</w:t>
      </w:r>
      <w:proofErr w:type="gramEnd"/>
      <w:r w:rsidRPr="002E0172">
        <w:rPr>
          <w:sz w:val="26"/>
          <w:szCs w:val="26"/>
        </w:rPr>
        <w:t xml:space="preserve"> amendments approved by 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HSE </w:t>
      </w:r>
      <w:r w:rsidR="00357AFB">
        <w:rPr>
          <w:sz w:val="26"/>
          <w:szCs w:val="26"/>
          <w:lang w:val="en-US"/>
        </w:rPr>
        <w:t>University</w:t>
      </w:r>
      <w:r w:rsidR="00357AFB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>Academic Council</w:t>
      </w:r>
    </w:p>
    <w:p w:rsidR="00016EDD" w:rsidRPr="002E0172" w:rsidRDefault="00016EDD" w:rsidP="002E0172">
      <w:pPr>
        <w:ind w:left="5387"/>
        <w:contextualSpacing/>
        <w:jc w:val="both"/>
        <w:rPr>
          <w:sz w:val="26"/>
          <w:szCs w:val="26"/>
        </w:rPr>
      </w:pPr>
      <w:r w:rsidRPr="002E0172">
        <w:rPr>
          <w:sz w:val="26"/>
          <w:szCs w:val="26"/>
        </w:rPr>
        <w:t xml:space="preserve">Minutes No. </w:t>
      </w:r>
      <w:r w:rsidR="002E0172">
        <w:rPr>
          <w:sz w:val="26"/>
          <w:szCs w:val="26"/>
        </w:rPr>
        <w:t>3</w:t>
      </w:r>
      <w:r w:rsidRPr="002E0172">
        <w:rPr>
          <w:sz w:val="26"/>
          <w:szCs w:val="26"/>
        </w:rPr>
        <w:t xml:space="preserve">, dated </w:t>
      </w:r>
      <w:r w:rsidR="002E0172">
        <w:rPr>
          <w:sz w:val="26"/>
          <w:szCs w:val="26"/>
        </w:rPr>
        <w:t>April 19</w:t>
      </w:r>
      <w:r w:rsidRPr="002E0172">
        <w:rPr>
          <w:sz w:val="26"/>
          <w:szCs w:val="26"/>
        </w:rPr>
        <w:t>, 2018</w:t>
      </w:r>
      <w:r w:rsidR="00357AFB">
        <w:rPr>
          <w:sz w:val="26"/>
          <w:szCs w:val="26"/>
        </w:rPr>
        <w:t>,</w:t>
      </w:r>
      <w:r w:rsidRPr="002E0172">
        <w:rPr>
          <w:sz w:val="26"/>
          <w:szCs w:val="26"/>
        </w:rPr>
        <w:t xml:space="preserve"> </w:t>
      </w:r>
    </w:p>
    <w:p w:rsidR="00016EDD" w:rsidRDefault="00016EDD" w:rsidP="002E0172">
      <w:pPr>
        <w:ind w:left="5387"/>
        <w:contextualSpacing/>
        <w:jc w:val="both"/>
        <w:rPr>
          <w:sz w:val="26"/>
          <w:szCs w:val="26"/>
        </w:rPr>
      </w:pPr>
      <w:proofErr w:type="gramStart"/>
      <w:r w:rsidRPr="002E0172">
        <w:rPr>
          <w:sz w:val="26"/>
          <w:szCs w:val="26"/>
        </w:rPr>
        <w:t>enacted</w:t>
      </w:r>
      <w:proofErr w:type="gramEnd"/>
      <w:r w:rsidRPr="002E0172">
        <w:rPr>
          <w:sz w:val="26"/>
          <w:szCs w:val="26"/>
        </w:rPr>
        <w:t xml:space="preserve"> by HSE </w:t>
      </w:r>
      <w:r w:rsidR="00357AFB">
        <w:rPr>
          <w:sz w:val="26"/>
          <w:szCs w:val="26"/>
          <w:lang w:val="en-US"/>
        </w:rPr>
        <w:t>University</w:t>
      </w:r>
      <w:r w:rsidR="00357AFB" w:rsidRPr="002E0172">
        <w:rPr>
          <w:sz w:val="26"/>
          <w:szCs w:val="26"/>
        </w:rPr>
        <w:t xml:space="preserve"> </w:t>
      </w:r>
      <w:r w:rsidRPr="002E0172">
        <w:rPr>
          <w:sz w:val="26"/>
          <w:szCs w:val="26"/>
        </w:rPr>
        <w:t xml:space="preserve">Directive </w:t>
      </w:r>
      <w:r w:rsidR="00357AFB">
        <w:rPr>
          <w:sz w:val="26"/>
          <w:szCs w:val="26"/>
        </w:rPr>
        <w:t xml:space="preserve">No. </w:t>
      </w:r>
      <w:r w:rsidRPr="002E0172">
        <w:rPr>
          <w:sz w:val="26"/>
          <w:szCs w:val="26"/>
        </w:rPr>
        <w:t>6.18.1-01/1906-09</w:t>
      </w:r>
    </w:p>
    <w:p w:rsidR="00A946B1" w:rsidRDefault="00A946B1" w:rsidP="002E0172">
      <w:pPr>
        <w:ind w:left="5387"/>
        <w:contextualSpacing/>
        <w:jc w:val="both"/>
        <w:rPr>
          <w:sz w:val="26"/>
          <w:szCs w:val="26"/>
        </w:rPr>
      </w:pP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proofErr w:type="gramStart"/>
      <w:r w:rsidRPr="00EB59C0">
        <w:rPr>
          <w:sz w:val="26"/>
          <w:szCs w:val="26"/>
        </w:rPr>
        <w:t>with</w:t>
      </w:r>
      <w:proofErr w:type="gramEnd"/>
      <w:r w:rsidRPr="00EB59C0">
        <w:rPr>
          <w:sz w:val="26"/>
          <w:szCs w:val="26"/>
        </w:rPr>
        <w:t xml:space="preserve"> amendments approved by 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r w:rsidRPr="00EB59C0">
        <w:rPr>
          <w:sz w:val="26"/>
          <w:szCs w:val="26"/>
        </w:rPr>
        <w:t>HSE Academic Council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r w:rsidRPr="00EB59C0">
        <w:rPr>
          <w:sz w:val="26"/>
          <w:szCs w:val="26"/>
        </w:rPr>
        <w:t>Minutes No. 12, dated November 30, 2018</w:t>
      </w:r>
      <w:r w:rsidR="00357AFB" w:rsidRPr="00EB59C0">
        <w:rPr>
          <w:sz w:val="26"/>
          <w:szCs w:val="26"/>
        </w:rPr>
        <w:t xml:space="preserve">, 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proofErr w:type="gramStart"/>
      <w:r w:rsidRPr="00EB59C0">
        <w:rPr>
          <w:sz w:val="26"/>
          <w:szCs w:val="26"/>
        </w:rPr>
        <w:t>enacted</w:t>
      </w:r>
      <w:proofErr w:type="gramEnd"/>
      <w:r w:rsidRPr="00EB59C0">
        <w:rPr>
          <w:sz w:val="26"/>
          <w:szCs w:val="26"/>
        </w:rPr>
        <w:t xml:space="preserve"> by HSE </w:t>
      </w:r>
      <w:r w:rsidR="00357AFB" w:rsidRPr="00EB59C0">
        <w:rPr>
          <w:sz w:val="26"/>
          <w:szCs w:val="26"/>
          <w:lang w:val="en-US"/>
        </w:rPr>
        <w:t>University</w:t>
      </w:r>
      <w:r w:rsidR="00357AFB" w:rsidRPr="00EB59C0">
        <w:rPr>
          <w:sz w:val="26"/>
          <w:szCs w:val="26"/>
        </w:rPr>
        <w:t xml:space="preserve"> </w:t>
      </w:r>
      <w:r w:rsidRPr="00EB59C0">
        <w:rPr>
          <w:sz w:val="26"/>
          <w:szCs w:val="26"/>
        </w:rPr>
        <w:t>Directive No. 6.18.1-01/2412-08, dated December 24, 2018</w:t>
      </w:r>
    </w:p>
    <w:p w:rsidR="00A946B1" w:rsidRDefault="00A946B1" w:rsidP="00A946B1">
      <w:pPr>
        <w:ind w:left="5387"/>
        <w:contextualSpacing/>
        <w:jc w:val="both"/>
        <w:rPr>
          <w:sz w:val="26"/>
          <w:szCs w:val="26"/>
        </w:rPr>
      </w:pP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proofErr w:type="gramStart"/>
      <w:r w:rsidRPr="00EB59C0">
        <w:rPr>
          <w:sz w:val="26"/>
          <w:szCs w:val="26"/>
        </w:rPr>
        <w:t>with</w:t>
      </w:r>
      <w:proofErr w:type="gramEnd"/>
      <w:r w:rsidRPr="00EB59C0">
        <w:rPr>
          <w:sz w:val="26"/>
          <w:szCs w:val="26"/>
        </w:rPr>
        <w:t xml:space="preserve"> amendments approved by 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r w:rsidRPr="00EB59C0">
        <w:rPr>
          <w:sz w:val="26"/>
          <w:szCs w:val="26"/>
        </w:rPr>
        <w:t xml:space="preserve">HSE </w:t>
      </w:r>
      <w:r w:rsidR="00357AFB" w:rsidRPr="00EB59C0">
        <w:rPr>
          <w:sz w:val="26"/>
          <w:szCs w:val="26"/>
          <w:lang w:val="en-US"/>
        </w:rPr>
        <w:t>University</w:t>
      </w:r>
      <w:r w:rsidR="00357AFB" w:rsidRPr="00EB59C0">
        <w:rPr>
          <w:sz w:val="26"/>
          <w:szCs w:val="26"/>
        </w:rPr>
        <w:t xml:space="preserve"> </w:t>
      </w:r>
      <w:r w:rsidRPr="00EB59C0">
        <w:rPr>
          <w:sz w:val="26"/>
          <w:szCs w:val="26"/>
        </w:rPr>
        <w:t>Academic Council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r w:rsidRPr="00EB59C0">
        <w:rPr>
          <w:sz w:val="26"/>
          <w:szCs w:val="26"/>
        </w:rPr>
        <w:t>Minutes No. 6, dated April 26, 2019</w:t>
      </w:r>
      <w:r w:rsidR="00357AFB" w:rsidRPr="00EB59C0">
        <w:rPr>
          <w:sz w:val="26"/>
          <w:szCs w:val="26"/>
        </w:rPr>
        <w:t>,</w:t>
      </w:r>
    </w:p>
    <w:p w:rsidR="00A946B1" w:rsidRPr="00EB59C0" w:rsidRDefault="00A946B1" w:rsidP="00A946B1">
      <w:pPr>
        <w:ind w:left="5387"/>
        <w:contextualSpacing/>
        <w:jc w:val="both"/>
        <w:rPr>
          <w:sz w:val="26"/>
          <w:szCs w:val="26"/>
        </w:rPr>
      </w:pPr>
      <w:proofErr w:type="gramStart"/>
      <w:r w:rsidRPr="00EB59C0">
        <w:rPr>
          <w:sz w:val="26"/>
          <w:szCs w:val="26"/>
        </w:rPr>
        <w:t>enacted</w:t>
      </w:r>
      <w:proofErr w:type="gramEnd"/>
      <w:r w:rsidRPr="00EB59C0">
        <w:rPr>
          <w:sz w:val="26"/>
          <w:szCs w:val="26"/>
        </w:rPr>
        <w:t xml:space="preserve"> by HSE </w:t>
      </w:r>
      <w:r w:rsidR="00357AFB" w:rsidRPr="00EB59C0">
        <w:rPr>
          <w:sz w:val="26"/>
          <w:szCs w:val="26"/>
          <w:lang w:val="en-US"/>
        </w:rPr>
        <w:t>University</w:t>
      </w:r>
      <w:r w:rsidR="00357AFB" w:rsidRPr="00EB59C0">
        <w:rPr>
          <w:sz w:val="26"/>
          <w:szCs w:val="26"/>
        </w:rPr>
        <w:t xml:space="preserve"> </w:t>
      </w:r>
      <w:r w:rsidRPr="00EB59C0">
        <w:rPr>
          <w:sz w:val="26"/>
          <w:szCs w:val="26"/>
        </w:rPr>
        <w:t>Directive No. 6.18.1-01/1405-15, dated May 14, 2019</w:t>
      </w:r>
    </w:p>
    <w:p w:rsidR="00A946B1" w:rsidRPr="002E0172" w:rsidRDefault="00A946B1" w:rsidP="00A946B1">
      <w:pPr>
        <w:ind w:left="5387"/>
        <w:contextualSpacing/>
        <w:jc w:val="both"/>
        <w:rPr>
          <w:sz w:val="26"/>
          <w:szCs w:val="26"/>
        </w:rPr>
      </w:pPr>
    </w:p>
    <w:p w:rsidR="0004484D" w:rsidRPr="00966CA7" w:rsidRDefault="0004484D" w:rsidP="002E0172">
      <w:pPr>
        <w:pStyle w:val="a7"/>
        <w:ind w:firstLine="709"/>
        <w:jc w:val="center"/>
        <w:rPr>
          <w:b/>
          <w:sz w:val="26"/>
          <w:szCs w:val="26"/>
        </w:rPr>
      </w:pPr>
      <w:r w:rsidRPr="00966CA7">
        <w:rPr>
          <w:b/>
          <w:sz w:val="26"/>
          <w:szCs w:val="26"/>
        </w:rPr>
        <w:lastRenderedPageBreak/>
        <w:t>Eligibility Criteria and Procedure</w:t>
      </w:r>
      <w:r w:rsidR="00AE662C">
        <w:rPr>
          <w:b/>
          <w:sz w:val="26"/>
          <w:szCs w:val="26"/>
        </w:rPr>
        <w:t>s</w:t>
      </w:r>
      <w:r w:rsidRPr="00966CA7">
        <w:rPr>
          <w:b/>
          <w:sz w:val="26"/>
          <w:szCs w:val="26"/>
        </w:rPr>
        <w:t xml:space="preserve"> </w:t>
      </w:r>
      <w:r w:rsidR="00AE662C">
        <w:rPr>
          <w:b/>
          <w:sz w:val="26"/>
          <w:szCs w:val="26"/>
        </w:rPr>
        <w:t>for</w:t>
      </w:r>
      <w:r w:rsidR="00AE662C" w:rsidRPr="00966CA7">
        <w:rPr>
          <w:b/>
          <w:sz w:val="26"/>
          <w:szCs w:val="26"/>
        </w:rPr>
        <w:t xml:space="preserve"> </w:t>
      </w:r>
      <w:r w:rsidRPr="00966CA7">
        <w:rPr>
          <w:b/>
          <w:sz w:val="26"/>
          <w:szCs w:val="26"/>
        </w:rPr>
        <w:t>Competitions</w:t>
      </w:r>
      <w:r w:rsidR="002E0172" w:rsidRPr="00966CA7">
        <w:rPr>
          <w:b/>
          <w:sz w:val="26"/>
          <w:szCs w:val="26"/>
        </w:rPr>
        <w:t xml:space="preserve"> </w:t>
      </w:r>
      <w:r w:rsidRPr="00966CA7">
        <w:rPr>
          <w:b/>
          <w:sz w:val="26"/>
          <w:szCs w:val="26"/>
        </w:rPr>
        <w:t>for Increased State Academic Scholarships Awarded for Academic Achievements</w:t>
      </w:r>
    </w:p>
    <w:p w:rsidR="0004484D" w:rsidRPr="003B75E2" w:rsidRDefault="0004484D" w:rsidP="0004484D">
      <w:pPr>
        <w:pStyle w:val="a7"/>
        <w:spacing w:before="0" w:after="0"/>
        <w:ind w:firstLine="709"/>
        <w:jc w:val="center"/>
        <w:rPr>
          <w:sz w:val="26"/>
          <w:szCs w:val="26"/>
        </w:rPr>
      </w:pPr>
    </w:p>
    <w:p w:rsidR="0004484D" w:rsidRPr="003B75E2" w:rsidRDefault="0004484D" w:rsidP="0004484D">
      <w:pPr>
        <w:pStyle w:val="a7"/>
        <w:spacing w:before="0" w:after="0"/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t xml:space="preserve">1. </w:t>
      </w:r>
      <w:r w:rsidR="00AE662C">
        <w:rPr>
          <w:sz w:val="26"/>
          <w:szCs w:val="26"/>
        </w:rPr>
        <w:t>I</w:t>
      </w:r>
      <w:r w:rsidRPr="003B75E2">
        <w:rPr>
          <w:sz w:val="26"/>
          <w:szCs w:val="26"/>
        </w:rPr>
        <w:t>ncreased state academic scholarship</w:t>
      </w:r>
      <w:r w:rsidR="00AE662C"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academic achievements shall be awarded</w:t>
      </w:r>
      <w:r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</w:t>
      </w:r>
      <w:proofErr w:type="gramStart"/>
      <w:r w:rsidRPr="003B75E2">
        <w:rPr>
          <w:sz w:val="26"/>
          <w:szCs w:val="26"/>
        </w:rPr>
        <w:t>provided that</w:t>
      </w:r>
      <w:proofErr w:type="gramEnd"/>
      <w:r w:rsidRPr="003B75E2">
        <w:rPr>
          <w:sz w:val="26"/>
          <w:szCs w:val="26"/>
        </w:rPr>
        <w:t xml:space="preserve"> these achievements satisfy </w:t>
      </w:r>
      <w:r w:rsidR="00AD6481" w:rsidRPr="00EB59C0">
        <w:rPr>
          <w:sz w:val="26"/>
          <w:szCs w:val="26"/>
        </w:rPr>
        <w:t xml:space="preserve">one or several of </w:t>
      </w:r>
      <w:r w:rsidRPr="00EB59C0">
        <w:rPr>
          <w:sz w:val="26"/>
          <w:szCs w:val="26"/>
        </w:rPr>
        <w:t>the following criteria: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а) </w:t>
      </w:r>
      <w:proofErr w:type="gramStart"/>
      <w:r w:rsidR="00AE662C">
        <w:rPr>
          <w:sz w:val="26"/>
          <w:szCs w:val="26"/>
        </w:rPr>
        <w:t>a</w:t>
      </w:r>
      <w:proofErr w:type="gramEnd"/>
      <w:r w:rsidR="00AE662C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student has only “excellent” grades </w:t>
      </w:r>
      <w:r>
        <w:rPr>
          <w:sz w:val="26"/>
          <w:szCs w:val="26"/>
        </w:rPr>
        <w:t>over the course of 2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B75E2">
        <w:rPr>
          <w:sz w:val="26"/>
          <w:szCs w:val="26"/>
        </w:rPr>
        <w:t>two</w:t>
      </w:r>
      <w:r>
        <w:rPr>
          <w:sz w:val="26"/>
          <w:szCs w:val="26"/>
        </w:rPr>
        <w:t>)</w:t>
      </w:r>
      <w:r w:rsidR="00E13041">
        <w:rPr>
          <w:sz w:val="26"/>
          <w:szCs w:val="26"/>
        </w:rPr>
        <w:t xml:space="preserve"> consecutive interim assessment periods</w:t>
      </w:r>
      <w:r w:rsidRPr="003B75E2">
        <w:rPr>
          <w:sz w:val="26"/>
          <w:szCs w:val="26"/>
        </w:rPr>
        <w:t xml:space="preserve">, </w:t>
      </w:r>
      <w:r w:rsidR="00E13041">
        <w:rPr>
          <w:sz w:val="26"/>
          <w:szCs w:val="26"/>
        </w:rPr>
        <w:t>preceding the dates of competition</w:t>
      </w:r>
      <w:r w:rsidR="00357AFB" w:rsidRPr="00EB59C0">
        <w:rPr>
          <w:sz w:val="26"/>
          <w:szCs w:val="26"/>
          <w:lang w:val="en-US"/>
        </w:rPr>
        <w:t xml:space="preserve"> </w:t>
      </w:r>
      <w:r w:rsidR="00357AFB">
        <w:rPr>
          <w:sz w:val="26"/>
          <w:szCs w:val="26"/>
          <w:lang w:val="en-US"/>
        </w:rPr>
        <w:t>for the assignment of this type of increased scholarship</w:t>
      </w:r>
      <w:r w:rsidRPr="003B75E2">
        <w:rPr>
          <w:sz w:val="26"/>
          <w:szCs w:val="26"/>
        </w:rPr>
        <w:t xml:space="preserve">; 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b) </w:t>
      </w:r>
      <w:proofErr w:type="gramStart"/>
      <w:r w:rsidRPr="003B75E2">
        <w:rPr>
          <w:sz w:val="26"/>
          <w:szCs w:val="26"/>
        </w:rPr>
        <w:t>during</w:t>
      </w:r>
      <w:proofErr w:type="gramEnd"/>
      <w:r w:rsidRPr="003B75E2">
        <w:rPr>
          <w:sz w:val="26"/>
          <w:szCs w:val="26"/>
        </w:rPr>
        <w:t xml:space="preserve"> the </w:t>
      </w:r>
      <w:r w:rsidR="00E13041">
        <w:rPr>
          <w:sz w:val="26"/>
          <w:szCs w:val="26"/>
        </w:rPr>
        <w:t xml:space="preserve">previous </w:t>
      </w:r>
      <w:r w:rsidRPr="003B75E2">
        <w:rPr>
          <w:sz w:val="26"/>
          <w:szCs w:val="26"/>
        </w:rPr>
        <w:t>year</w:t>
      </w:r>
      <w:r w:rsidR="00AE662C"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the student </w:t>
      </w:r>
      <w:r w:rsidR="00E13041">
        <w:rPr>
          <w:sz w:val="26"/>
          <w:szCs w:val="26"/>
        </w:rPr>
        <w:t>received an award (prize)</w:t>
      </w:r>
      <w:r w:rsidRPr="003B75E2">
        <w:rPr>
          <w:sz w:val="26"/>
          <w:szCs w:val="26"/>
        </w:rPr>
        <w:t xml:space="preserve"> for </w:t>
      </w:r>
      <w:r>
        <w:rPr>
          <w:sz w:val="26"/>
          <w:szCs w:val="26"/>
        </w:rPr>
        <w:t xml:space="preserve">his/her </w:t>
      </w:r>
      <w:r w:rsidR="00E13041">
        <w:rPr>
          <w:sz w:val="26"/>
          <w:szCs w:val="26"/>
        </w:rPr>
        <w:t>project</w:t>
      </w:r>
      <w:r w:rsidRPr="003B75E2">
        <w:rPr>
          <w:sz w:val="26"/>
          <w:szCs w:val="26"/>
        </w:rPr>
        <w:t xml:space="preserve"> and</w:t>
      </w:r>
      <w:r w:rsidR="00357AFB">
        <w:rPr>
          <w:sz w:val="26"/>
          <w:szCs w:val="26"/>
        </w:rPr>
        <w:t>/</w:t>
      </w:r>
      <w:r w:rsidRPr="003B75E2">
        <w:rPr>
          <w:sz w:val="26"/>
          <w:szCs w:val="26"/>
        </w:rPr>
        <w:t xml:space="preserve">or </w:t>
      </w:r>
      <w:r w:rsidR="002D641F">
        <w:rPr>
          <w:sz w:val="26"/>
          <w:szCs w:val="26"/>
        </w:rPr>
        <w:t>experimental and R&amp;D</w:t>
      </w:r>
      <w:r w:rsidRPr="003B75E2">
        <w:rPr>
          <w:sz w:val="26"/>
          <w:szCs w:val="26"/>
        </w:rPr>
        <w:t xml:space="preserve"> results;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c) </w:t>
      </w:r>
      <w:r w:rsidR="006E3683" w:rsidRPr="003B75E2">
        <w:rPr>
          <w:sz w:val="26"/>
          <w:szCs w:val="26"/>
        </w:rPr>
        <w:t xml:space="preserve">during the </w:t>
      </w:r>
      <w:r w:rsidR="006E3683">
        <w:rPr>
          <w:sz w:val="26"/>
          <w:szCs w:val="26"/>
        </w:rPr>
        <w:t xml:space="preserve">previous </w:t>
      </w:r>
      <w:r w:rsidR="006E3683" w:rsidRPr="003B75E2">
        <w:rPr>
          <w:sz w:val="26"/>
          <w:szCs w:val="26"/>
        </w:rPr>
        <w:t>year</w:t>
      </w:r>
      <w:r w:rsidR="00AE662C">
        <w:rPr>
          <w:sz w:val="26"/>
          <w:szCs w:val="26"/>
        </w:rPr>
        <w:t>,</w:t>
      </w:r>
      <w:r w:rsidR="006E3683"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Pr="003B75E2">
        <w:rPr>
          <w:sz w:val="26"/>
          <w:szCs w:val="26"/>
        </w:rPr>
        <w:t xml:space="preserve"> student </w:t>
      </w:r>
      <w:r w:rsidR="00FE590F">
        <w:rPr>
          <w:sz w:val="26"/>
          <w:szCs w:val="26"/>
        </w:rPr>
        <w:t>was a</w:t>
      </w:r>
      <w:r w:rsidRPr="003B75E2">
        <w:rPr>
          <w:sz w:val="26"/>
          <w:szCs w:val="26"/>
        </w:rPr>
        <w:t xml:space="preserve"> </w:t>
      </w:r>
      <w:r w:rsidR="002D641F">
        <w:rPr>
          <w:sz w:val="26"/>
          <w:szCs w:val="26"/>
        </w:rPr>
        <w:t xml:space="preserve">winner or a </w:t>
      </w:r>
      <w:r w:rsidRPr="003B75E2">
        <w:rPr>
          <w:sz w:val="26"/>
          <w:szCs w:val="26"/>
        </w:rPr>
        <w:t xml:space="preserve">prize-winner of </w:t>
      </w:r>
      <w:r w:rsidR="006E3683">
        <w:rPr>
          <w:sz w:val="26"/>
          <w:szCs w:val="26"/>
        </w:rPr>
        <w:t xml:space="preserve">academic </w:t>
      </w:r>
      <w:r w:rsidRPr="003B75E2">
        <w:rPr>
          <w:sz w:val="26"/>
          <w:szCs w:val="26"/>
        </w:rPr>
        <w:t xml:space="preserve">events held by HSE </w:t>
      </w:r>
      <w:r w:rsidR="000B29EF">
        <w:rPr>
          <w:sz w:val="26"/>
          <w:szCs w:val="26"/>
        </w:rPr>
        <w:t xml:space="preserve">University </w:t>
      </w:r>
      <w:r w:rsidRPr="003B75E2">
        <w:rPr>
          <w:sz w:val="26"/>
          <w:szCs w:val="26"/>
        </w:rPr>
        <w:t xml:space="preserve">or other </w:t>
      </w:r>
      <w:r w:rsidR="00357AFB">
        <w:rPr>
          <w:sz w:val="26"/>
          <w:szCs w:val="26"/>
        </w:rPr>
        <w:t>academic</w:t>
      </w:r>
      <w:r w:rsidR="00357AFB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institutions, as well as public and research organizations, including international, </w:t>
      </w:r>
      <w:r w:rsidR="00357AFB">
        <w:rPr>
          <w:sz w:val="26"/>
          <w:szCs w:val="26"/>
        </w:rPr>
        <w:t>all-Russian</w:t>
      </w:r>
      <w:r w:rsidRPr="003B75E2">
        <w:rPr>
          <w:sz w:val="26"/>
          <w:szCs w:val="26"/>
        </w:rPr>
        <w:t xml:space="preserve">, </w:t>
      </w:r>
      <w:r w:rsidR="00357AFB">
        <w:rPr>
          <w:sz w:val="26"/>
          <w:szCs w:val="26"/>
        </w:rPr>
        <w:t>sectoral</w:t>
      </w:r>
      <w:r w:rsidRPr="003B75E2">
        <w:rPr>
          <w:sz w:val="26"/>
          <w:szCs w:val="26"/>
        </w:rPr>
        <w:t xml:space="preserve"> or regional Olympiads</w:t>
      </w:r>
      <w:r w:rsidRPr="003B75E2">
        <w:rPr>
          <w:rStyle w:val="a5"/>
          <w:sz w:val="26"/>
          <w:szCs w:val="26"/>
        </w:rPr>
        <w:footnoteReference w:id="1"/>
      </w:r>
      <w:r w:rsidRPr="003B75E2">
        <w:rPr>
          <w:sz w:val="26"/>
          <w:szCs w:val="26"/>
        </w:rPr>
        <w:t xml:space="preserve">, contests, </w:t>
      </w:r>
      <w:r w:rsidR="00FE590F">
        <w:rPr>
          <w:sz w:val="26"/>
          <w:szCs w:val="26"/>
        </w:rPr>
        <w:t xml:space="preserve">and </w:t>
      </w:r>
      <w:r w:rsidRPr="003B75E2">
        <w:rPr>
          <w:sz w:val="26"/>
          <w:szCs w:val="26"/>
        </w:rPr>
        <w:t>competitions, or any other events focused on revealin</w:t>
      </w:r>
      <w:r w:rsidR="006E3683">
        <w:rPr>
          <w:sz w:val="26"/>
          <w:szCs w:val="26"/>
        </w:rPr>
        <w:t>g student academic achievements</w:t>
      </w:r>
      <w:r w:rsidRPr="003B75E2">
        <w:rPr>
          <w:rStyle w:val="a5"/>
          <w:sz w:val="26"/>
          <w:szCs w:val="26"/>
        </w:rPr>
        <w:footnoteReference w:id="2"/>
      </w:r>
      <w:r w:rsidRPr="003B75E2">
        <w:rPr>
          <w:sz w:val="26"/>
          <w:szCs w:val="26"/>
        </w:rPr>
        <w:t>.</w:t>
      </w:r>
    </w:p>
    <w:p w:rsidR="0004484D" w:rsidRPr="00EB59C0" w:rsidRDefault="0004484D" w:rsidP="000448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EB59C0">
        <w:rPr>
          <w:sz w:val="26"/>
          <w:szCs w:val="26"/>
        </w:rPr>
        <w:t>2. If</w:t>
      </w:r>
      <w:r w:rsidR="00FE590F" w:rsidRPr="00EB59C0">
        <w:rPr>
          <w:sz w:val="26"/>
          <w:szCs w:val="26"/>
        </w:rPr>
        <w:t>,</w:t>
      </w:r>
      <w:r w:rsidRPr="00EB59C0">
        <w:rPr>
          <w:sz w:val="26"/>
          <w:szCs w:val="26"/>
        </w:rPr>
        <w:t xml:space="preserve"> during the </w:t>
      </w:r>
      <w:r w:rsidR="006E3683" w:rsidRPr="00EB59C0">
        <w:rPr>
          <w:sz w:val="26"/>
          <w:szCs w:val="26"/>
        </w:rPr>
        <w:t xml:space="preserve">previous </w:t>
      </w:r>
      <w:r w:rsidRPr="00EB59C0">
        <w:rPr>
          <w:sz w:val="26"/>
          <w:szCs w:val="26"/>
        </w:rPr>
        <w:t>year</w:t>
      </w:r>
      <w:r w:rsidR="00FE590F" w:rsidRPr="00EB59C0">
        <w:rPr>
          <w:sz w:val="26"/>
          <w:szCs w:val="26"/>
        </w:rPr>
        <w:t>,</w:t>
      </w:r>
      <w:r w:rsidRPr="00EB59C0">
        <w:rPr>
          <w:sz w:val="26"/>
          <w:szCs w:val="26"/>
        </w:rPr>
        <w:t xml:space="preserve"> the student had </w:t>
      </w:r>
      <w:r w:rsidR="006E3683" w:rsidRPr="00EB59C0">
        <w:rPr>
          <w:sz w:val="26"/>
          <w:szCs w:val="26"/>
        </w:rPr>
        <w:t xml:space="preserve">to retake </w:t>
      </w:r>
      <w:r w:rsidRPr="00EB59C0">
        <w:rPr>
          <w:sz w:val="26"/>
          <w:szCs w:val="26"/>
        </w:rPr>
        <w:t xml:space="preserve">an examination (test) for no valid reason, </w:t>
      </w:r>
      <w:r w:rsidR="00FE590F" w:rsidRPr="00EB59C0">
        <w:rPr>
          <w:sz w:val="26"/>
          <w:szCs w:val="26"/>
        </w:rPr>
        <w:t>or</w:t>
      </w:r>
      <w:r w:rsidR="007A797E" w:rsidRPr="00EB59C0">
        <w:rPr>
          <w:sz w:val="26"/>
          <w:szCs w:val="26"/>
        </w:rPr>
        <w:t xml:space="preserve"> </w:t>
      </w:r>
      <w:r w:rsidR="000B29EF" w:rsidRPr="00EB59C0">
        <w:rPr>
          <w:sz w:val="26"/>
          <w:szCs w:val="26"/>
        </w:rPr>
        <w:t>the state academic scholarship was awarded to the student for a period other than</w:t>
      </w:r>
      <w:r w:rsidR="00FE590F" w:rsidRPr="00EB59C0">
        <w:rPr>
          <w:sz w:val="26"/>
          <w:szCs w:val="26"/>
        </w:rPr>
        <w:t xml:space="preserve"> that which is</w:t>
      </w:r>
      <w:r w:rsidR="000B29EF" w:rsidRPr="00EB59C0">
        <w:rPr>
          <w:sz w:val="26"/>
          <w:szCs w:val="26"/>
        </w:rPr>
        <w:t xml:space="preserve"> stipulated in </w:t>
      </w:r>
      <w:r w:rsidR="007A797E" w:rsidRPr="00EB59C0">
        <w:rPr>
          <w:sz w:val="26"/>
          <w:szCs w:val="26"/>
        </w:rPr>
        <w:t>p.</w:t>
      </w:r>
      <w:r w:rsidR="00031AFB" w:rsidRPr="00EB59C0">
        <w:rPr>
          <w:sz w:val="26"/>
          <w:szCs w:val="26"/>
        </w:rPr>
        <w:t xml:space="preserve"> 3.1.4 </w:t>
      </w:r>
      <w:r w:rsidR="000B29EF" w:rsidRPr="00EB59C0">
        <w:rPr>
          <w:sz w:val="26"/>
          <w:szCs w:val="26"/>
        </w:rPr>
        <w:t>and p</w:t>
      </w:r>
      <w:r w:rsidR="007A797E" w:rsidRPr="00EB59C0">
        <w:rPr>
          <w:sz w:val="26"/>
          <w:szCs w:val="26"/>
        </w:rPr>
        <w:t>p.</w:t>
      </w:r>
      <w:r w:rsidR="00031AFB" w:rsidRPr="00EB59C0">
        <w:rPr>
          <w:sz w:val="26"/>
          <w:szCs w:val="26"/>
        </w:rPr>
        <w:t xml:space="preserve"> 3.1.5.3 </w:t>
      </w:r>
      <w:r w:rsidR="000B29EF" w:rsidRPr="00EB59C0">
        <w:rPr>
          <w:sz w:val="26"/>
          <w:szCs w:val="26"/>
        </w:rPr>
        <w:t xml:space="preserve">of </w:t>
      </w:r>
      <w:r w:rsidR="007A797E" w:rsidRPr="00EB59C0">
        <w:rPr>
          <w:sz w:val="26"/>
          <w:szCs w:val="26"/>
        </w:rPr>
        <w:t>p.</w:t>
      </w:r>
      <w:r w:rsidR="000B29EF" w:rsidRPr="00EB59C0">
        <w:rPr>
          <w:sz w:val="26"/>
          <w:szCs w:val="26"/>
        </w:rPr>
        <w:t xml:space="preserve"> </w:t>
      </w:r>
      <w:r w:rsidR="00031AFB" w:rsidRPr="00EB59C0">
        <w:rPr>
          <w:sz w:val="26"/>
          <w:szCs w:val="26"/>
        </w:rPr>
        <w:t xml:space="preserve">3.1.5 </w:t>
      </w:r>
      <w:r w:rsidR="000B29EF" w:rsidRPr="00EB59C0">
        <w:rPr>
          <w:sz w:val="26"/>
          <w:szCs w:val="26"/>
        </w:rPr>
        <w:t xml:space="preserve">of the Regulations on Scholarships and Other </w:t>
      </w:r>
      <w:r w:rsidR="007A797E" w:rsidRPr="00EB59C0">
        <w:rPr>
          <w:sz w:val="26"/>
          <w:szCs w:val="26"/>
        </w:rPr>
        <w:t xml:space="preserve">Types </w:t>
      </w:r>
      <w:r w:rsidR="000B29EF" w:rsidRPr="00EB59C0">
        <w:rPr>
          <w:sz w:val="26"/>
          <w:szCs w:val="26"/>
        </w:rPr>
        <w:t>of Financial Support for Students at HSE University</w:t>
      </w:r>
      <w:r w:rsidR="00031AFB" w:rsidRPr="00EB59C0">
        <w:rPr>
          <w:sz w:val="26"/>
          <w:szCs w:val="26"/>
        </w:rPr>
        <w:t xml:space="preserve">, </w:t>
      </w:r>
      <w:r w:rsidRPr="00EB59C0">
        <w:rPr>
          <w:sz w:val="26"/>
          <w:szCs w:val="26"/>
        </w:rPr>
        <w:t xml:space="preserve">the increased state academic scholarship for academic achievements </w:t>
      </w:r>
      <w:r w:rsidR="00D63745" w:rsidRPr="00EB59C0">
        <w:rPr>
          <w:sz w:val="26"/>
          <w:szCs w:val="26"/>
        </w:rPr>
        <w:t>stated in p. 1a hereof shall not be awarded</w:t>
      </w:r>
      <w:r w:rsidRPr="00EB59C0">
        <w:rPr>
          <w:sz w:val="26"/>
          <w:szCs w:val="26"/>
        </w:rPr>
        <w:t>.</w:t>
      </w:r>
      <w:proofErr w:type="gramEnd"/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3. The</w:t>
      </w:r>
      <w:r w:rsidR="00FE590F">
        <w:rPr>
          <w:sz w:val="26"/>
          <w:szCs w:val="26"/>
        </w:rPr>
        <w:t xml:space="preserve"> total</w:t>
      </w:r>
      <w:r w:rsidRPr="003B75E2">
        <w:rPr>
          <w:sz w:val="26"/>
          <w:szCs w:val="26"/>
        </w:rPr>
        <w:t xml:space="preserve"> </w:t>
      </w:r>
      <w:r w:rsidR="007A797E">
        <w:rPr>
          <w:sz w:val="26"/>
          <w:szCs w:val="26"/>
        </w:rPr>
        <w:t xml:space="preserve">number of </w:t>
      </w:r>
      <w:r w:rsidRPr="003B75E2">
        <w:rPr>
          <w:sz w:val="26"/>
          <w:szCs w:val="26"/>
        </w:rPr>
        <w:t>student</w:t>
      </w:r>
      <w:r w:rsidR="007A797E"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entitled to </w:t>
      </w:r>
      <w:r w:rsidRPr="003B75E2">
        <w:rPr>
          <w:sz w:val="26"/>
          <w:szCs w:val="26"/>
        </w:rPr>
        <w:t>increased state academic scholarship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academic achievements</w:t>
      </w:r>
      <w:r w:rsidR="00FE590F"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</w:t>
      </w:r>
      <w:r w:rsidR="00D63745">
        <w:rPr>
          <w:sz w:val="26"/>
          <w:szCs w:val="26"/>
        </w:rPr>
        <w:t>as per p. 1a hereof</w:t>
      </w:r>
      <w:r w:rsidR="00FE590F">
        <w:rPr>
          <w:sz w:val="26"/>
          <w:szCs w:val="26"/>
        </w:rPr>
        <w:t>,</w:t>
      </w:r>
      <w:r w:rsidR="00D63745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cannot exceed 10</w:t>
      </w:r>
      <w:r w:rsidR="007A797E">
        <w:rPr>
          <w:sz w:val="26"/>
          <w:szCs w:val="26"/>
        </w:rPr>
        <w:t xml:space="preserve">% </w:t>
      </w:r>
      <w:r w:rsidRPr="003B75E2">
        <w:rPr>
          <w:sz w:val="26"/>
          <w:szCs w:val="26"/>
        </w:rPr>
        <w:t>of the total student</w:t>
      </w:r>
      <w:r w:rsidR="007A797E">
        <w:rPr>
          <w:sz w:val="26"/>
          <w:szCs w:val="26"/>
        </w:rPr>
        <w:t xml:space="preserve"> body</w:t>
      </w:r>
      <w:r w:rsidRPr="003B75E2">
        <w:rPr>
          <w:sz w:val="26"/>
          <w:szCs w:val="26"/>
        </w:rPr>
        <w:t xml:space="preserve"> receiving </w:t>
      </w:r>
      <w:r>
        <w:rPr>
          <w:sz w:val="26"/>
          <w:szCs w:val="26"/>
        </w:rPr>
        <w:t>such</w:t>
      </w:r>
      <w:r w:rsidRPr="003B75E2">
        <w:rPr>
          <w:sz w:val="26"/>
          <w:szCs w:val="26"/>
        </w:rPr>
        <w:t xml:space="preserve"> scholarship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>.</w:t>
      </w:r>
    </w:p>
    <w:p w:rsidR="0004484D" w:rsidRPr="003B75E2" w:rsidRDefault="0004484D" w:rsidP="0004484D">
      <w:pPr>
        <w:pStyle w:val="a7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t>4. Candidates for increased state academic scholarsh</w:t>
      </w:r>
      <w:r>
        <w:rPr>
          <w:sz w:val="26"/>
          <w:szCs w:val="26"/>
        </w:rPr>
        <w:t>ips</w:t>
      </w:r>
      <w:r w:rsidRPr="003B75E2">
        <w:rPr>
          <w:sz w:val="26"/>
          <w:szCs w:val="26"/>
        </w:rPr>
        <w:t xml:space="preserve"> awarded for academic achievements </w:t>
      </w:r>
      <w:r>
        <w:rPr>
          <w:sz w:val="26"/>
          <w:szCs w:val="26"/>
        </w:rPr>
        <w:t>may</w:t>
      </w:r>
      <w:r w:rsidRPr="003B75E2">
        <w:rPr>
          <w:sz w:val="26"/>
          <w:szCs w:val="26"/>
        </w:rPr>
        <w:t xml:space="preserve"> take part in the following competitions: 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B75E2">
        <w:rPr>
          <w:sz w:val="26"/>
          <w:szCs w:val="26"/>
        </w:rPr>
        <w:t xml:space="preserve">4.1. </w:t>
      </w:r>
      <w:r w:rsidR="00A64778">
        <w:rPr>
          <w:sz w:val="26"/>
          <w:szCs w:val="26"/>
        </w:rPr>
        <w:t xml:space="preserve">a </w:t>
      </w:r>
      <w:r w:rsidR="00E54FCB">
        <w:rPr>
          <w:sz w:val="26"/>
          <w:szCs w:val="26"/>
        </w:rPr>
        <w:t>competition for students who</w:t>
      </w:r>
      <w:r w:rsidR="00A64778">
        <w:rPr>
          <w:sz w:val="26"/>
          <w:szCs w:val="26"/>
        </w:rPr>
        <w:t>,</w:t>
      </w:r>
      <w:r w:rsidR="00E54FCB">
        <w:rPr>
          <w:sz w:val="26"/>
          <w:szCs w:val="26"/>
        </w:rPr>
        <w:t xml:space="preserve"> </w:t>
      </w:r>
      <w:r w:rsidR="00E54FCB" w:rsidRPr="003B75E2">
        <w:rPr>
          <w:sz w:val="26"/>
          <w:szCs w:val="26"/>
        </w:rPr>
        <w:t xml:space="preserve">during the </w:t>
      </w:r>
      <w:r w:rsidR="00E54FCB">
        <w:rPr>
          <w:sz w:val="26"/>
          <w:szCs w:val="26"/>
        </w:rPr>
        <w:t xml:space="preserve">previous </w:t>
      </w:r>
      <w:r w:rsidR="00E54FCB" w:rsidRPr="003B75E2">
        <w:rPr>
          <w:sz w:val="26"/>
          <w:szCs w:val="26"/>
        </w:rPr>
        <w:t>year</w:t>
      </w:r>
      <w:r w:rsidR="00E11E7D">
        <w:rPr>
          <w:sz w:val="26"/>
          <w:szCs w:val="26"/>
        </w:rPr>
        <w:t>,</w:t>
      </w:r>
      <w:r w:rsidR="00E54FCB" w:rsidRPr="003B75E2">
        <w:rPr>
          <w:sz w:val="26"/>
          <w:szCs w:val="26"/>
        </w:rPr>
        <w:t xml:space="preserve"> </w:t>
      </w:r>
      <w:r w:rsidR="00E54FCB">
        <w:rPr>
          <w:sz w:val="26"/>
          <w:szCs w:val="26"/>
        </w:rPr>
        <w:t>received an award (prize)</w:t>
      </w:r>
      <w:r w:rsidR="008778E6">
        <w:rPr>
          <w:rStyle w:val="a5"/>
          <w:sz w:val="26"/>
          <w:szCs w:val="26"/>
        </w:rPr>
        <w:footnoteReference w:id="3"/>
      </w:r>
      <w:r w:rsidRPr="003B75E2">
        <w:rPr>
          <w:sz w:val="26"/>
          <w:szCs w:val="26"/>
        </w:rPr>
        <w:t xml:space="preserve"> for </w:t>
      </w:r>
      <w:r>
        <w:rPr>
          <w:sz w:val="26"/>
          <w:szCs w:val="26"/>
        </w:rPr>
        <w:t xml:space="preserve">his/her </w:t>
      </w:r>
      <w:r w:rsidRPr="003B75E2">
        <w:rPr>
          <w:sz w:val="26"/>
          <w:szCs w:val="26"/>
        </w:rPr>
        <w:t xml:space="preserve">achievements in </w:t>
      </w:r>
      <w:r w:rsidR="00E479A8">
        <w:rPr>
          <w:sz w:val="26"/>
          <w:szCs w:val="26"/>
        </w:rPr>
        <w:t xml:space="preserve">project work or </w:t>
      </w:r>
      <w:r w:rsidR="008315DB">
        <w:rPr>
          <w:sz w:val="26"/>
          <w:szCs w:val="26"/>
        </w:rPr>
        <w:t xml:space="preserve">experimental or </w:t>
      </w:r>
      <w:r w:rsidR="00E54FCB">
        <w:rPr>
          <w:sz w:val="26"/>
          <w:szCs w:val="26"/>
        </w:rPr>
        <w:t>R&amp;D</w:t>
      </w:r>
      <w:r w:rsidR="008315DB">
        <w:rPr>
          <w:sz w:val="26"/>
          <w:szCs w:val="26"/>
        </w:rPr>
        <w:t xml:space="preserve"> activities</w:t>
      </w:r>
      <w:r w:rsidR="00E479A8">
        <w:rPr>
          <w:rStyle w:val="a5"/>
          <w:sz w:val="26"/>
          <w:szCs w:val="26"/>
        </w:rPr>
        <w:footnoteReference w:id="4"/>
      </w:r>
      <w:r w:rsidRPr="003B75E2">
        <w:rPr>
          <w:sz w:val="26"/>
          <w:szCs w:val="26"/>
        </w:rPr>
        <w:t xml:space="preserve">, </w:t>
      </w:r>
      <w:r w:rsidR="00E54FCB">
        <w:rPr>
          <w:sz w:val="26"/>
          <w:szCs w:val="26"/>
        </w:rPr>
        <w:t xml:space="preserve">or </w:t>
      </w:r>
      <w:r w:rsidR="00E11E7D">
        <w:rPr>
          <w:sz w:val="26"/>
          <w:szCs w:val="26"/>
        </w:rPr>
        <w:t>was a</w:t>
      </w:r>
      <w:r w:rsidR="00E11E7D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prize-winner </w:t>
      </w:r>
      <w:r w:rsidR="00E54FCB">
        <w:rPr>
          <w:sz w:val="26"/>
          <w:szCs w:val="26"/>
        </w:rPr>
        <w:t>at</w:t>
      </w:r>
      <w:r w:rsidRPr="003B75E2">
        <w:rPr>
          <w:sz w:val="26"/>
          <w:szCs w:val="26"/>
        </w:rPr>
        <w:t xml:space="preserve"> events held by HSE </w:t>
      </w:r>
      <w:r w:rsidR="007A797E">
        <w:rPr>
          <w:sz w:val="26"/>
          <w:szCs w:val="26"/>
        </w:rPr>
        <w:t xml:space="preserve">University </w:t>
      </w:r>
      <w:r w:rsidRPr="003B75E2">
        <w:rPr>
          <w:sz w:val="26"/>
          <w:szCs w:val="26"/>
        </w:rPr>
        <w:t xml:space="preserve">or other </w:t>
      </w:r>
      <w:r w:rsidR="007A797E">
        <w:rPr>
          <w:sz w:val="26"/>
          <w:szCs w:val="26"/>
        </w:rPr>
        <w:t>academic</w:t>
      </w:r>
      <w:r w:rsidR="007A797E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institutions, as well as public and research organizations, including international, </w:t>
      </w:r>
      <w:r w:rsidR="00B9008F">
        <w:rPr>
          <w:sz w:val="26"/>
          <w:szCs w:val="26"/>
        </w:rPr>
        <w:t>all-</w:t>
      </w:r>
      <w:r w:rsidRPr="003B75E2">
        <w:rPr>
          <w:sz w:val="26"/>
          <w:szCs w:val="26"/>
        </w:rPr>
        <w:t xml:space="preserve">Russian, </w:t>
      </w:r>
      <w:r w:rsidR="00B9008F">
        <w:rPr>
          <w:sz w:val="26"/>
          <w:szCs w:val="26"/>
        </w:rPr>
        <w:t>sectoral</w:t>
      </w:r>
      <w:r w:rsidRPr="003B75E2">
        <w:rPr>
          <w:sz w:val="26"/>
          <w:szCs w:val="26"/>
        </w:rPr>
        <w:t xml:space="preserve"> or regional Olympiads</w:t>
      </w:r>
      <w:r w:rsidRPr="003B75E2">
        <w:rPr>
          <w:rStyle w:val="a5"/>
          <w:sz w:val="26"/>
          <w:szCs w:val="26"/>
        </w:rPr>
        <w:footnoteReference w:id="5"/>
      </w:r>
      <w:r w:rsidRPr="003B75E2">
        <w:rPr>
          <w:sz w:val="26"/>
          <w:szCs w:val="26"/>
        </w:rPr>
        <w:t>, contests, competitions, or any other events</w:t>
      </w:r>
      <w:r w:rsidR="00AF21C8">
        <w:rPr>
          <w:rStyle w:val="a5"/>
          <w:sz w:val="26"/>
          <w:szCs w:val="26"/>
        </w:rPr>
        <w:footnoteReference w:id="6"/>
      </w:r>
      <w:r w:rsidRPr="003B75E2">
        <w:rPr>
          <w:sz w:val="26"/>
          <w:szCs w:val="26"/>
        </w:rPr>
        <w:t xml:space="preserve"> </w:t>
      </w:r>
      <w:r w:rsidR="00E11E7D">
        <w:rPr>
          <w:sz w:val="26"/>
          <w:szCs w:val="26"/>
        </w:rPr>
        <w:t>with a focus on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identifying</w:t>
      </w:r>
      <w:r w:rsidRPr="003B75E2">
        <w:rPr>
          <w:sz w:val="26"/>
          <w:szCs w:val="26"/>
        </w:rPr>
        <w:t xml:space="preserve"> </w:t>
      </w:r>
      <w:r w:rsidR="00E11E7D">
        <w:rPr>
          <w:sz w:val="26"/>
          <w:szCs w:val="26"/>
        </w:rPr>
        <w:t>learners’</w:t>
      </w:r>
      <w:r w:rsidR="00E11E7D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academic achievements, which </w:t>
      </w:r>
      <w:r w:rsidR="00694F21">
        <w:rPr>
          <w:sz w:val="26"/>
          <w:szCs w:val="26"/>
        </w:rPr>
        <w:t xml:space="preserve">were </w:t>
      </w:r>
      <w:r w:rsidRPr="003B75E2">
        <w:rPr>
          <w:sz w:val="26"/>
          <w:szCs w:val="26"/>
        </w:rPr>
        <w:t xml:space="preserve">held </w:t>
      </w:r>
      <w:r>
        <w:rPr>
          <w:sz w:val="26"/>
          <w:szCs w:val="26"/>
        </w:rPr>
        <w:t>throughout the</w:t>
      </w:r>
      <w:r w:rsidRPr="003B75E2">
        <w:rPr>
          <w:sz w:val="26"/>
          <w:szCs w:val="26"/>
        </w:rPr>
        <w:t xml:space="preserve"> year preceding </w:t>
      </w:r>
      <w:r w:rsidR="00E54FCB">
        <w:rPr>
          <w:sz w:val="26"/>
          <w:szCs w:val="26"/>
        </w:rPr>
        <w:t>competition dates</w:t>
      </w:r>
      <w:r w:rsidRPr="003B75E2">
        <w:rPr>
          <w:rStyle w:val="a5"/>
          <w:sz w:val="26"/>
          <w:szCs w:val="26"/>
        </w:rPr>
        <w:footnoteReference w:id="7"/>
      </w:r>
      <w:r w:rsidRPr="003B75E2">
        <w:rPr>
          <w:sz w:val="26"/>
          <w:szCs w:val="26"/>
        </w:rPr>
        <w:t>.</w:t>
      </w:r>
      <w:proofErr w:type="gramEnd"/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4.2</w:t>
      </w:r>
      <w:r w:rsidRPr="00EB59C0">
        <w:rPr>
          <w:sz w:val="26"/>
          <w:szCs w:val="26"/>
        </w:rPr>
        <w:t>. </w:t>
      </w:r>
      <w:proofErr w:type="gramStart"/>
      <w:r w:rsidR="00E11E7D" w:rsidRPr="00EB59C0">
        <w:rPr>
          <w:sz w:val="26"/>
          <w:szCs w:val="26"/>
        </w:rPr>
        <w:t>a</w:t>
      </w:r>
      <w:proofErr w:type="gramEnd"/>
      <w:r w:rsidR="00E11E7D" w:rsidRPr="00EB59C0">
        <w:rPr>
          <w:sz w:val="26"/>
          <w:szCs w:val="26"/>
        </w:rPr>
        <w:t xml:space="preserve"> </w:t>
      </w:r>
      <w:r w:rsidR="00694F21" w:rsidRPr="00EB59C0">
        <w:rPr>
          <w:sz w:val="26"/>
          <w:szCs w:val="26"/>
        </w:rPr>
        <w:t>competition for students who</w:t>
      </w:r>
      <w:r w:rsidR="00E11E7D" w:rsidRPr="00EB59C0">
        <w:rPr>
          <w:sz w:val="26"/>
          <w:szCs w:val="26"/>
        </w:rPr>
        <w:t xml:space="preserve"> have</w:t>
      </w:r>
      <w:r w:rsidR="00694F21" w:rsidRPr="00EB59C0">
        <w:rPr>
          <w:sz w:val="26"/>
          <w:szCs w:val="26"/>
        </w:rPr>
        <w:t xml:space="preserve"> demonstrated </w:t>
      </w:r>
      <w:r w:rsidRPr="00EB59C0">
        <w:rPr>
          <w:sz w:val="26"/>
          <w:szCs w:val="26"/>
        </w:rPr>
        <w:t xml:space="preserve">academic achievements over </w:t>
      </w:r>
      <w:r w:rsidR="002B3FF5" w:rsidRPr="00EB59C0">
        <w:rPr>
          <w:sz w:val="26"/>
          <w:szCs w:val="26"/>
        </w:rPr>
        <w:t>4</w:t>
      </w:r>
      <w:r w:rsidRPr="00EB59C0">
        <w:rPr>
          <w:sz w:val="26"/>
          <w:szCs w:val="26"/>
        </w:rPr>
        <w:t xml:space="preserve"> (</w:t>
      </w:r>
      <w:r w:rsidR="002B3FF5" w:rsidRPr="00EB59C0">
        <w:rPr>
          <w:sz w:val="26"/>
          <w:szCs w:val="26"/>
        </w:rPr>
        <w:t>four</w:t>
      </w:r>
      <w:r w:rsidRPr="00EB59C0">
        <w:rPr>
          <w:sz w:val="26"/>
          <w:szCs w:val="26"/>
        </w:rPr>
        <w:t>) consecutive interim assessment</w:t>
      </w:r>
      <w:r w:rsidR="00694F21" w:rsidRPr="00EB59C0">
        <w:rPr>
          <w:sz w:val="26"/>
          <w:szCs w:val="26"/>
        </w:rPr>
        <w:t xml:space="preserve"> periods</w:t>
      </w:r>
      <w:r w:rsidR="00B9008F" w:rsidRPr="00EB59C0">
        <w:rPr>
          <w:sz w:val="26"/>
          <w:szCs w:val="26"/>
        </w:rPr>
        <w:t>,</w:t>
      </w:r>
      <w:r w:rsidR="00694F21" w:rsidRPr="00EB59C0">
        <w:rPr>
          <w:sz w:val="26"/>
          <w:szCs w:val="26"/>
        </w:rPr>
        <w:t xml:space="preserve"> preceding the competition dates</w:t>
      </w:r>
      <w:r w:rsidRPr="00EB59C0">
        <w:rPr>
          <w:sz w:val="26"/>
          <w:szCs w:val="26"/>
        </w:rPr>
        <w:t>.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5. The</w:t>
      </w:r>
      <w:r w:rsidR="00555134">
        <w:rPr>
          <w:sz w:val="26"/>
          <w:szCs w:val="26"/>
        </w:rPr>
        <w:t xml:space="preserve"> total</w:t>
      </w:r>
      <w:r w:rsidRPr="003B75E2">
        <w:rPr>
          <w:sz w:val="26"/>
          <w:szCs w:val="26"/>
        </w:rPr>
        <w:t xml:space="preserve"> number of increased state academic scholarships for academic achievements</w:t>
      </w:r>
      <w:r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which </w:t>
      </w:r>
      <w:proofErr w:type="gramStart"/>
      <w:r w:rsidR="00EB4C67">
        <w:rPr>
          <w:sz w:val="26"/>
          <w:szCs w:val="26"/>
        </w:rPr>
        <w:t>have been</w:t>
      </w:r>
      <w:r w:rsidR="00EB4C67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allocated</w:t>
      </w:r>
      <w:proofErr w:type="gramEnd"/>
      <w:r w:rsidRPr="003B75E2">
        <w:rPr>
          <w:sz w:val="26"/>
          <w:szCs w:val="26"/>
        </w:rPr>
        <w:t xml:space="preserve"> pursuant to </w:t>
      </w:r>
      <w:r>
        <w:rPr>
          <w:sz w:val="26"/>
          <w:szCs w:val="26"/>
        </w:rPr>
        <w:t xml:space="preserve">the </w:t>
      </w:r>
      <w:r w:rsidRPr="003B75E2">
        <w:rPr>
          <w:sz w:val="26"/>
          <w:szCs w:val="26"/>
        </w:rPr>
        <w:t>results of each competition procedure,</w:t>
      </w:r>
      <w:r>
        <w:rPr>
          <w:sz w:val="26"/>
          <w:szCs w:val="26"/>
        </w:rPr>
        <w:t xml:space="preserve"> as</w:t>
      </w:r>
      <w:r w:rsidRPr="003B75E2">
        <w:rPr>
          <w:sz w:val="26"/>
          <w:szCs w:val="26"/>
        </w:rPr>
        <w:t xml:space="preserve"> specified in p</w:t>
      </w:r>
      <w:r w:rsidR="00B9008F">
        <w:rPr>
          <w:sz w:val="26"/>
          <w:szCs w:val="26"/>
        </w:rPr>
        <w:t>.</w:t>
      </w:r>
      <w:r w:rsidRPr="003B75E2">
        <w:rPr>
          <w:sz w:val="26"/>
          <w:szCs w:val="26"/>
        </w:rPr>
        <w:t xml:space="preserve"> 4, shall be established by the University</w:t>
      </w:r>
      <w:r w:rsidR="00694F21">
        <w:rPr>
          <w:sz w:val="26"/>
          <w:szCs w:val="26"/>
        </w:rPr>
        <w:t>-wide</w:t>
      </w:r>
      <w:r w:rsidRPr="003B75E2">
        <w:rPr>
          <w:sz w:val="26"/>
          <w:szCs w:val="26"/>
        </w:rPr>
        <w:t xml:space="preserve"> Scholarship Committee.</w:t>
      </w:r>
    </w:p>
    <w:p w:rsidR="0004484D" w:rsidRPr="003B75E2" w:rsidRDefault="0004484D" w:rsidP="000448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6. </w:t>
      </w:r>
      <w:r w:rsidR="00FD4617">
        <w:rPr>
          <w:sz w:val="26"/>
          <w:szCs w:val="26"/>
        </w:rPr>
        <w:t xml:space="preserve">The eligibility </w:t>
      </w:r>
      <w:r w:rsidR="00694F21">
        <w:rPr>
          <w:sz w:val="26"/>
          <w:szCs w:val="26"/>
        </w:rPr>
        <w:t>c</w:t>
      </w:r>
      <w:r w:rsidRPr="003B75E2">
        <w:rPr>
          <w:sz w:val="26"/>
          <w:szCs w:val="26"/>
        </w:rPr>
        <w:t>riteria for candidate</w:t>
      </w:r>
      <w:r w:rsidR="00694F21"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</w:t>
      </w:r>
      <w:r w:rsidR="00694F21">
        <w:rPr>
          <w:sz w:val="26"/>
          <w:szCs w:val="26"/>
        </w:rPr>
        <w:t xml:space="preserve">applying </w:t>
      </w:r>
      <w:r w:rsidRPr="003B75E2">
        <w:rPr>
          <w:sz w:val="26"/>
          <w:szCs w:val="26"/>
        </w:rPr>
        <w:t>for increased state academic scholarship</w:t>
      </w:r>
      <w:r w:rsidR="00694F21"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awarded for academic achievements, </w:t>
      </w:r>
      <w:r w:rsidR="00FD4617">
        <w:rPr>
          <w:sz w:val="26"/>
          <w:szCs w:val="26"/>
        </w:rPr>
        <w:t>with</w:t>
      </w:r>
      <w:r w:rsidRPr="003B75E2">
        <w:rPr>
          <w:sz w:val="26"/>
          <w:szCs w:val="26"/>
        </w:rPr>
        <w:t xml:space="preserve">in the framework of the competition procedure </w:t>
      </w:r>
      <w:r>
        <w:rPr>
          <w:sz w:val="26"/>
          <w:szCs w:val="26"/>
        </w:rPr>
        <w:t xml:space="preserve">specified </w:t>
      </w:r>
      <w:r w:rsidRPr="003B75E2">
        <w:rPr>
          <w:sz w:val="26"/>
          <w:szCs w:val="26"/>
        </w:rPr>
        <w:t>in p</w:t>
      </w:r>
      <w:r w:rsidR="00694F21">
        <w:rPr>
          <w:sz w:val="26"/>
          <w:szCs w:val="26"/>
        </w:rPr>
        <w:t>.</w:t>
      </w:r>
      <w:r w:rsidRPr="003B75E2">
        <w:rPr>
          <w:sz w:val="26"/>
          <w:szCs w:val="26"/>
        </w:rPr>
        <w:t xml:space="preserve"> 4.1</w:t>
      </w:r>
      <w:r w:rsidR="008315DB">
        <w:rPr>
          <w:sz w:val="26"/>
          <w:szCs w:val="26"/>
        </w:rPr>
        <w:t>,</w:t>
      </w:r>
      <w:r w:rsidR="00694F21">
        <w:rPr>
          <w:sz w:val="26"/>
          <w:szCs w:val="26"/>
        </w:rPr>
        <w:t xml:space="preserve"> are as follows:</w:t>
      </w:r>
    </w:p>
    <w:p w:rsidR="0004484D" w:rsidRPr="003B75E2" w:rsidRDefault="0004484D" w:rsidP="0004484D">
      <w:pPr>
        <w:jc w:val="center"/>
        <w:rPr>
          <w:sz w:val="26"/>
          <w:szCs w:val="2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2"/>
        <w:gridCol w:w="2409"/>
        <w:gridCol w:w="1984"/>
      </w:tblGrid>
      <w:tr w:rsidR="0004484D" w:rsidRPr="003B75E2" w:rsidTr="007B4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7B41E2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No.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7B41E2">
            <w:pPr>
              <w:suppressAutoHyphens/>
              <w:ind w:left="32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Criteria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C72A5D" w:rsidP="007B41E2">
            <w:pPr>
              <w:suppressAutoHyphens/>
              <w:ind w:hanging="108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Score</w:t>
            </w:r>
          </w:p>
        </w:tc>
      </w:tr>
      <w:tr w:rsidR="0004484D" w:rsidRPr="003B75E2" w:rsidTr="007B4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</w:t>
            </w:r>
          </w:p>
          <w:p w:rsidR="0004484D" w:rsidRPr="003B75E2" w:rsidRDefault="0004484D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2871AF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During the </w:t>
            </w:r>
            <w:r w:rsidR="00C72A5D">
              <w:rPr>
                <w:sz w:val="26"/>
                <w:szCs w:val="26"/>
              </w:rPr>
              <w:t xml:space="preserve">previous </w:t>
            </w:r>
            <w:r w:rsidRPr="003B75E2">
              <w:rPr>
                <w:sz w:val="26"/>
                <w:szCs w:val="26"/>
              </w:rPr>
              <w:t xml:space="preserve">year, the student has </w:t>
            </w:r>
            <w:r w:rsidR="00C72A5D">
              <w:rPr>
                <w:sz w:val="26"/>
                <w:szCs w:val="26"/>
              </w:rPr>
              <w:t>received an award (prize)</w:t>
            </w:r>
            <w:r w:rsidRPr="003B75E2">
              <w:rPr>
                <w:sz w:val="26"/>
                <w:szCs w:val="26"/>
              </w:rPr>
              <w:t xml:space="preserve"> for </w:t>
            </w:r>
            <w:r w:rsidR="00C72A5D">
              <w:rPr>
                <w:sz w:val="26"/>
                <w:szCs w:val="26"/>
              </w:rPr>
              <w:t xml:space="preserve">his/her project or </w:t>
            </w:r>
            <w:r w:rsidR="008315DB">
              <w:rPr>
                <w:sz w:val="26"/>
                <w:szCs w:val="26"/>
              </w:rPr>
              <w:t xml:space="preserve">experimental and </w:t>
            </w:r>
            <w:r w:rsidR="00C72A5D">
              <w:rPr>
                <w:sz w:val="26"/>
                <w:szCs w:val="26"/>
              </w:rPr>
              <w:t>R&amp;D</w:t>
            </w:r>
            <w:r w:rsidRPr="003B75E2">
              <w:rPr>
                <w:sz w:val="26"/>
                <w:szCs w:val="26"/>
              </w:rPr>
              <w:t xml:space="preserve"> results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4D" w:rsidRPr="003B75E2" w:rsidRDefault="0004484D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</w:p>
          <w:p w:rsidR="0004484D" w:rsidRPr="003B75E2" w:rsidRDefault="0004484D" w:rsidP="00EB59C0">
            <w:pPr>
              <w:suppressAutoHyphens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5</w:t>
            </w:r>
          </w:p>
        </w:tc>
      </w:tr>
      <w:tr w:rsidR="0004484D" w:rsidRPr="003B75E2" w:rsidTr="007B41E2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7B41E2">
            <w:pPr>
              <w:ind w:firstLine="709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</w:p>
          <w:p w:rsidR="0004484D" w:rsidRPr="003B75E2" w:rsidRDefault="0004484D" w:rsidP="007B41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4D" w:rsidRPr="003B75E2" w:rsidRDefault="0004484D" w:rsidP="00EB59C0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The student </w:t>
            </w:r>
            <w:r w:rsidR="00FD4617">
              <w:rPr>
                <w:sz w:val="26"/>
                <w:szCs w:val="26"/>
              </w:rPr>
              <w:t>was a</w:t>
            </w:r>
            <w:r w:rsidR="00C72A5D">
              <w:rPr>
                <w:sz w:val="26"/>
                <w:szCs w:val="26"/>
              </w:rPr>
              <w:t xml:space="preserve"> first-place winner</w:t>
            </w:r>
            <w:r w:rsidRPr="003B75E2">
              <w:rPr>
                <w:sz w:val="26"/>
                <w:szCs w:val="26"/>
              </w:rPr>
              <w:t xml:space="preserve"> or </w:t>
            </w:r>
            <w:r>
              <w:rPr>
                <w:sz w:val="26"/>
                <w:szCs w:val="26"/>
              </w:rPr>
              <w:t>a</w:t>
            </w:r>
            <w:r w:rsidRPr="003B75E2">
              <w:rPr>
                <w:sz w:val="26"/>
                <w:szCs w:val="26"/>
              </w:rPr>
              <w:t xml:space="preserve"> prize-winner </w:t>
            </w:r>
            <w:r w:rsidR="00C72A5D">
              <w:rPr>
                <w:sz w:val="26"/>
                <w:szCs w:val="26"/>
              </w:rPr>
              <w:t>at a</w:t>
            </w:r>
            <w:r w:rsidR="00CE3002">
              <w:rPr>
                <w:sz w:val="26"/>
                <w:szCs w:val="26"/>
              </w:rPr>
              <w:t xml:space="preserve"> face-to-face</w:t>
            </w:r>
            <w:r w:rsidRPr="003B75E2">
              <w:rPr>
                <w:sz w:val="26"/>
                <w:szCs w:val="26"/>
              </w:rPr>
              <w:t xml:space="preserve"> Olympiad, contest or comp</w:t>
            </w:r>
            <w:r w:rsidR="00C72A5D">
              <w:rPr>
                <w:sz w:val="26"/>
                <w:szCs w:val="26"/>
              </w:rPr>
              <w:t>etition, as well as other event</w:t>
            </w:r>
            <w:r w:rsidR="001D4DFE">
              <w:rPr>
                <w:sz w:val="26"/>
                <w:szCs w:val="26"/>
              </w:rPr>
              <w:t>s</w:t>
            </w:r>
            <w:r w:rsidRPr="003B75E2">
              <w:rPr>
                <w:sz w:val="26"/>
                <w:szCs w:val="26"/>
              </w:rPr>
              <w:t xml:space="preserve"> </w:t>
            </w:r>
            <w:r w:rsidR="00FD4617">
              <w:rPr>
                <w:sz w:val="26"/>
                <w:szCs w:val="26"/>
              </w:rPr>
              <w:t>with a focus on</w:t>
            </w:r>
            <w:r w:rsidRPr="003B75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identifying</w:t>
            </w:r>
            <w:r w:rsidRPr="003B75E2">
              <w:rPr>
                <w:sz w:val="26"/>
                <w:szCs w:val="26"/>
              </w:rPr>
              <w:t xml:space="preserve"> student</w:t>
            </w:r>
            <w:r w:rsidR="00C72A5D">
              <w:rPr>
                <w:sz w:val="26"/>
                <w:szCs w:val="26"/>
              </w:rPr>
              <w:t>s’</w:t>
            </w:r>
            <w:r w:rsidRPr="003B75E2">
              <w:rPr>
                <w:sz w:val="26"/>
                <w:szCs w:val="26"/>
              </w:rPr>
              <w:t xml:space="preserve"> academic achievements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4D" w:rsidRPr="003B75E2" w:rsidRDefault="0004484D" w:rsidP="007B41E2">
            <w:pPr>
              <w:ind w:hanging="108"/>
              <w:jc w:val="center"/>
              <w:rPr>
                <w:kern w:val="2"/>
                <w:sz w:val="26"/>
                <w:szCs w:val="26"/>
              </w:rPr>
            </w:pPr>
          </w:p>
          <w:p w:rsidR="0004484D" w:rsidRPr="003B75E2" w:rsidRDefault="0004484D" w:rsidP="007B41E2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Winner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4D" w:rsidRPr="003B75E2" w:rsidRDefault="0004484D" w:rsidP="007B41E2">
            <w:pPr>
              <w:ind w:hanging="108"/>
              <w:jc w:val="center"/>
              <w:rPr>
                <w:kern w:val="2"/>
                <w:sz w:val="26"/>
                <w:szCs w:val="26"/>
              </w:rPr>
            </w:pPr>
          </w:p>
          <w:p w:rsidR="0004484D" w:rsidRPr="003B75E2" w:rsidRDefault="0004484D" w:rsidP="007B41E2">
            <w:pPr>
              <w:ind w:firstLine="34"/>
              <w:jc w:val="center"/>
              <w:rPr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Prize-winner </w:t>
            </w:r>
          </w:p>
          <w:p w:rsidR="0004484D" w:rsidRPr="003B75E2" w:rsidRDefault="0004484D" w:rsidP="007B41E2">
            <w:pPr>
              <w:suppressAutoHyphens/>
              <w:ind w:firstLine="34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(Place 2 or 3)</w:t>
            </w:r>
          </w:p>
        </w:tc>
      </w:tr>
      <w:tr w:rsidR="0004484D" w:rsidRPr="003B75E2" w:rsidTr="007B41E2">
        <w:trPr>
          <w:trHeight w:val="12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4D" w:rsidRPr="003B75E2" w:rsidRDefault="0004484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4D" w:rsidRPr="003B75E2" w:rsidRDefault="0004484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4D" w:rsidRPr="003B75E2" w:rsidRDefault="0004484D" w:rsidP="00EB59C0">
            <w:pPr>
              <w:suppressAutoHyphens/>
              <w:rPr>
                <w:kern w:val="2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4D" w:rsidRPr="003B75E2" w:rsidRDefault="0004484D" w:rsidP="00EB59C0">
            <w:pPr>
              <w:suppressAutoHyphens/>
              <w:rPr>
                <w:kern w:val="2"/>
                <w:sz w:val="26"/>
                <w:szCs w:val="26"/>
              </w:rPr>
            </w:pPr>
          </w:p>
        </w:tc>
      </w:tr>
      <w:tr w:rsidR="001047F0" w:rsidRPr="003B75E2" w:rsidTr="007B41E2">
        <w:trPr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0" w:rsidRPr="003B75E2" w:rsidRDefault="001047F0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0" w:rsidRPr="003B75E2" w:rsidRDefault="001047F0" w:rsidP="007B41E2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2.1 international event</w:t>
            </w:r>
            <w:r w:rsidR="00B5420F">
              <w:rPr>
                <w:rStyle w:val="a5"/>
                <w:kern w:val="2"/>
                <w:sz w:val="26"/>
                <w:szCs w:val="26"/>
              </w:rPr>
              <w:footnoteReference w:id="8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0" w:rsidRPr="003B75E2" w:rsidRDefault="001047F0" w:rsidP="007B41E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0" w:rsidRPr="003B75E2" w:rsidRDefault="001047F0" w:rsidP="007B41E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</w:t>
            </w:r>
          </w:p>
        </w:tc>
      </w:tr>
      <w:tr w:rsidR="001047F0" w:rsidRPr="003B75E2" w:rsidTr="007B41E2">
        <w:trPr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0" w:rsidRPr="003B75E2" w:rsidRDefault="001047F0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F0" w:rsidRPr="003B75E2" w:rsidRDefault="001047F0" w:rsidP="007B41E2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2.2 </w:t>
            </w:r>
            <w:r w:rsidR="00CE3002">
              <w:rPr>
                <w:kern w:val="2"/>
                <w:sz w:val="26"/>
                <w:szCs w:val="26"/>
              </w:rPr>
              <w:t>all-</w:t>
            </w:r>
            <w:r>
              <w:rPr>
                <w:kern w:val="2"/>
                <w:sz w:val="26"/>
                <w:szCs w:val="26"/>
              </w:rPr>
              <w:t>Russia</w:t>
            </w:r>
            <w:r w:rsidR="00CE3002">
              <w:rPr>
                <w:kern w:val="2"/>
                <w:sz w:val="26"/>
                <w:szCs w:val="26"/>
              </w:rPr>
              <w:t>n</w:t>
            </w:r>
            <w:r>
              <w:rPr>
                <w:kern w:val="2"/>
                <w:sz w:val="26"/>
                <w:szCs w:val="26"/>
              </w:rPr>
              <w:t xml:space="preserve"> event</w:t>
            </w:r>
            <w:r w:rsidR="0026715C">
              <w:rPr>
                <w:rStyle w:val="a5"/>
                <w:kern w:val="2"/>
                <w:sz w:val="26"/>
                <w:szCs w:val="26"/>
              </w:rPr>
              <w:footnoteReference w:id="9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0" w:rsidRPr="003B75E2" w:rsidRDefault="001047F0" w:rsidP="007B41E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0" w:rsidRPr="003B75E2" w:rsidRDefault="001047F0" w:rsidP="007B41E2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</w:p>
        </w:tc>
      </w:tr>
    </w:tbl>
    <w:p w:rsidR="006F03D1" w:rsidRPr="006F03D1" w:rsidRDefault="0004484D" w:rsidP="006F03D1">
      <w:pPr>
        <w:pStyle w:val="a7"/>
        <w:ind w:firstLine="567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7. </w:t>
      </w:r>
      <w:r w:rsidR="006F03D1" w:rsidRPr="006F03D1">
        <w:rPr>
          <w:sz w:val="26"/>
          <w:szCs w:val="26"/>
        </w:rPr>
        <w:t>Pursuant to the competitive procedure</w:t>
      </w:r>
      <w:r w:rsidR="00FD4617">
        <w:rPr>
          <w:sz w:val="26"/>
          <w:szCs w:val="26"/>
        </w:rPr>
        <w:t>s</w:t>
      </w:r>
      <w:r w:rsidR="006F03D1" w:rsidRPr="006F03D1">
        <w:rPr>
          <w:sz w:val="26"/>
          <w:szCs w:val="26"/>
        </w:rPr>
        <w:t xml:space="preserve"> set forth in p. 4.2 hereof, in addition to compliance with </w:t>
      </w:r>
      <w:r w:rsidR="009942EB">
        <w:rPr>
          <w:sz w:val="26"/>
          <w:szCs w:val="26"/>
        </w:rPr>
        <w:t xml:space="preserve">the </w:t>
      </w:r>
      <w:r w:rsidR="006F03D1" w:rsidRPr="006F03D1">
        <w:rPr>
          <w:sz w:val="26"/>
          <w:szCs w:val="26"/>
        </w:rPr>
        <w:t xml:space="preserve">requirements specified in p. 1a hereof, a </w:t>
      </w:r>
      <w:r w:rsidR="00CE3002">
        <w:rPr>
          <w:sz w:val="26"/>
          <w:szCs w:val="26"/>
        </w:rPr>
        <w:t xml:space="preserve">candidate’s personal percentile values </w:t>
      </w:r>
      <w:r w:rsidR="00CE3002" w:rsidRPr="006F03D1">
        <w:rPr>
          <w:sz w:val="26"/>
          <w:szCs w:val="26"/>
        </w:rPr>
        <w:t xml:space="preserve">in the most recent </w:t>
      </w:r>
      <w:r w:rsidR="00CE3002">
        <w:rPr>
          <w:sz w:val="26"/>
          <w:szCs w:val="26"/>
        </w:rPr>
        <w:t>2 (</w:t>
      </w:r>
      <w:r w:rsidR="00CE3002" w:rsidRPr="006F03D1">
        <w:rPr>
          <w:sz w:val="26"/>
          <w:szCs w:val="26"/>
        </w:rPr>
        <w:t>two</w:t>
      </w:r>
      <w:r w:rsidR="00CE3002">
        <w:rPr>
          <w:sz w:val="26"/>
          <w:szCs w:val="26"/>
        </w:rPr>
        <w:t>)</w:t>
      </w:r>
      <w:r w:rsidR="00CE3002" w:rsidRPr="006F03D1">
        <w:rPr>
          <w:sz w:val="26"/>
          <w:szCs w:val="26"/>
        </w:rPr>
        <w:t xml:space="preserve"> semesters preceding the competition dates</w:t>
      </w:r>
      <w:r w:rsidR="00CE3002">
        <w:rPr>
          <w:sz w:val="26"/>
          <w:szCs w:val="26"/>
        </w:rPr>
        <w:t xml:space="preserve"> shall </w:t>
      </w:r>
      <w:r w:rsidR="00CE3002">
        <w:rPr>
          <w:sz w:val="26"/>
          <w:szCs w:val="26"/>
        </w:rPr>
        <w:lastRenderedPageBreak/>
        <w:t>be a criterion for assigning</w:t>
      </w:r>
      <w:r w:rsidR="006F03D1" w:rsidRPr="006F03D1">
        <w:rPr>
          <w:sz w:val="26"/>
          <w:szCs w:val="26"/>
        </w:rPr>
        <w:t xml:space="preserve"> an increased state academic scholarship for academic achievement</w:t>
      </w:r>
      <w:r w:rsidR="00CE3002">
        <w:rPr>
          <w:sz w:val="26"/>
          <w:szCs w:val="26"/>
        </w:rPr>
        <w:t>s</w:t>
      </w:r>
      <w:r w:rsidR="006F03D1" w:rsidRPr="006F03D1">
        <w:rPr>
          <w:sz w:val="26"/>
          <w:szCs w:val="26"/>
        </w:rPr>
        <w:t>.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The following algorithm </w:t>
      </w:r>
      <w:r w:rsidR="00CE3002">
        <w:rPr>
          <w:sz w:val="26"/>
          <w:szCs w:val="26"/>
        </w:rPr>
        <w:t>shall be</w:t>
      </w:r>
      <w:r w:rsidRPr="006F03D1">
        <w:rPr>
          <w:sz w:val="26"/>
          <w:szCs w:val="26"/>
        </w:rPr>
        <w:t xml:space="preserve"> used to calculate student percentiles </w:t>
      </w:r>
      <w:proofErr w:type="gramStart"/>
      <w:r w:rsidRPr="006F03D1">
        <w:rPr>
          <w:sz w:val="26"/>
          <w:szCs w:val="26"/>
        </w:rPr>
        <w:t>for the purpose</w:t>
      </w:r>
      <w:r w:rsidR="00061CE6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>of</w:t>
      </w:r>
      <w:proofErr w:type="gramEnd"/>
      <w:r w:rsidRPr="006F03D1">
        <w:rPr>
          <w:sz w:val="26"/>
          <w:szCs w:val="26"/>
        </w:rPr>
        <w:t xml:space="preserve"> assigning increased state academic scholarships for</w:t>
      </w:r>
      <w:r w:rsidR="00061CE6">
        <w:rPr>
          <w:sz w:val="26"/>
          <w:szCs w:val="26"/>
        </w:rPr>
        <w:t xml:space="preserve"> their</w:t>
      </w:r>
      <w:r w:rsidRPr="006F03D1">
        <w:rPr>
          <w:sz w:val="26"/>
          <w:szCs w:val="26"/>
        </w:rPr>
        <w:t xml:space="preserve"> academic achievements: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1) </w:t>
      </w:r>
      <w:proofErr w:type="gramStart"/>
      <w:r w:rsidRPr="006F03D1">
        <w:rPr>
          <w:sz w:val="26"/>
          <w:szCs w:val="26"/>
        </w:rPr>
        <w:t>all</w:t>
      </w:r>
      <w:proofErr w:type="gramEnd"/>
      <w:r w:rsidRPr="006F03D1">
        <w:rPr>
          <w:sz w:val="26"/>
          <w:szCs w:val="26"/>
        </w:rPr>
        <w:t xml:space="preserve"> grades earned over </w:t>
      </w:r>
      <w:r w:rsidR="00061CE6">
        <w:rPr>
          <w:sz w:val="26"/>
          <w:szCs w:val="26"/>
        </w:rPr>
        <w:t xml:space="preserve">the </w:t>
      </w:r>
      <w:r w:rsidRPr="006F03D1">
        <w:rPr>
          <w:sz w:val="26"/>
          <w:szCs w:val="26"/>
        </w:rPr>
        <w:t xml:space="preserve">most recent semester </w:t>
      </w:r>
      <w:r w:rsidR="00061CE6">
        <w:rPr>
          <w:sz w:val="26"/>
          <w:szCs w:val="26"/>
        </w:rPr>
        <w:t>included in the</w:t>
      </w:r>
      <w:r w:rsidRPr="006F03D1">
        <w:rPr>
          <w:sz w:val="26"/>
          <w:szCs w:val="26"/>
        </w:rPr>
        <w:t xml:space="preserve"> current </w:t>
      </w:r>
      <w:r w:rsidR="009942EB">
        <w:rPr>
          <w:sz w:val="26"/>
          <w:szCs w:val="26"/>
        </w:rPr>
        <w:t xml:space="preserve">student </w:t>
      </w:r>
      <w:r w:rsidRPr="006F03D1">
        <w:rPr>
          <w:sz w:val="26"/>
          <w:szCs w:val="26"/>
        </w:rPr>
        <w:t xml:space="preserve">rating are taken into account (if a student </w:t>
      </w:r>
      <w:r w:rsidR="00061CE6">
        <w:rPr>
          <w:sz w:val="26"/>
          <w:szCs w:val="26"/>
        </w:rPr>
        <w:t xml:space="preserve">has </w:t>
      </w:r>
      <w:r w:rsidRPr="006F03D1">
        <w:rPr>
          <w:sz w:val="26"/>
          <w:szCs w:val="26"/>
        </w:rPr>
        <w:t>missed an assessment for a valid reason, the grade earned at the first retake shall be considered);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2) </w:t>
      </w:r>
      <w:proofErr w:type="gramStart"/>
      <w:r w:rsidRPr="006F03D1">
        <w:rPr>
          <w:sz w:val="26"/>
          <w:szCs w:val="26"/>
        </w:rPr>
        <w:t>a</w:t>
      </w:r>
      <w:proofErr w:type="gramEnd"/>
      <w:r w:rsidRPr="006F03D1">
        <w:rPr>
          <w:sz w:val="26"/>
          <w:szCs w:val="26"/>
        </w:rPr>
        <w:t xml:space="preserve"> credit-rating </w:t>
      </w:r>
      <w:r w:rsidR="00CE3002">
        <w:rPr>
          <w:sz w:val="26"/>
          <w:szCs w:val="26"/>
        </w:rPr>
        <w:t>total</w:t>
      </w:r>
      <w:r w:rsidR="00CE3002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>fo</w:t>
      </w:r>
      <w:r w:rsidR="009942EB">
        <w:rPr>
          <w:sz w:val="26"/>
          <w:szCs w:val="26"/>
        </w:rPr>
        <w:t xml:space="preserve">r each student is </w:t>
      </w:r>
      <w:r w:rsidRPr="006F03D1">
        <w:rPr>
          <w:sz w:val="26"/>
          <w:szCs w:val="26"/>
        </w:rPr>
        <w:t xml:space="preserve">calculated, i.e. the sum of </w:t>
      </w:r>
      <w:r w:rsidR="00CE3002">
        <w:rPr>
          <w:sz w:val="26"/>
          <w:szCs w:val="26"/>
          <w:lang w:val="en-US"/>
        </w:rPr>
        <w:t xml:space="preserve">products of </w:t>
      </w:r>
      <w:r w:rsidRPr="006F03D1">
        <w:rPr>
          <w:sz w:val="26"/>
          <w:szCs w:val="26"/>
        </w:rPr>
        <w:t>grade</w:t>
      </w:r>
      <w:r w:rsidR="00CE3002">
        <w:rPr>
          <w:sz w:val="26"/>
          <w:szCs w:val="26"/>
        </w:rPr>
        <w:t xml:space="preserve">s and </w:t>
      </w:r>
      <w:r w:rsidRPr="006F03D1">
        <w:rPr>
          <w:sz w:val="26"/>
          <w:szCs w:val="26"/>
        </w:rPr>
        <w:t>credits values for each course;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>3) a normalized credit-rating value for each student is established, i.e. a credit-rating value is multiplied by the normalization ratio (the maximum credit</w:t>
      </w:r>
      <w:r w:rsidR="0074577A">
        <w:rPr>
          <w:sz w:val="26"/>
          <w:szCs w:val="26"/>
        </w:rPr>
        <w:t xml:space="preserve"> unit</w:t>
      </w:r>
      <w:r w:rsidRPr="006F03D1">
        <w:rPr>
          <w:sz w:val="26"/>
          <w:szCs w:val="26"/>
        </w:rPr>
        <w:t>s an x-year student enrolled in this degree programme</w:t>
      </w:r>
      <w:r w:rsidR="0074577A">
        <w:rPr>
          <w:sz w:val="26"/>
          <w:szCs w:val="26"/>
        </w:rPr>
        <w:t xml:space="preserve"> has</w:t>
      </w:r>
      <w:r w:rsidRPr="006F03D1">
        <w:rPr>
          <w:sz w:val="26"/>
          <w:szCs w:val="26"/>
        </w:rPr>
        <w:t xml:space="preserve"> earn</w:t>
      </w:r>
      <w:r w:rsidR="0074577A">
        <w:rPr>
          <w:sz w:val="26"/>
          <w:szCs w:val="26"/>
        </w:rPr>
        <w:t>ed</w:t>
      </w:r>
      <w:r w:rsidR="00FE5A5A">
        <w:rPr>
          <w:sz w:val="26"/>
          <w:szCs w:val="26"/>
        </w:rPr>
        <w:t>,</w:t>
      </w:r>
      <w:r w:rsidRPr="006F03D1">
        <w:rPr>
          <w:sz w:val="26"/>
          <w:szCs w:val="26"/>
        </w:rPr>
        <w:t xml:space="preserve"> divided by credit</w:t>
      </w:r>
      <w:r w:rsidR="0074577A">
        <w:rPr>
          <w:sz w:val="26"/>
          <w:szCs w:val="26"/>
        </w:rPr>
        <w:t xml:space="preserve"> unit</w:t>
      </w:r>
      <w:r w:rsidRPr="006F03D1">
        <w:rPr>
          <w:sz w:val="26"/>
          <w:szCs w:val="26"/>
        </w:rPr>
        <w:t xml:space="preserve">s actually earned by </w:t>
      </w:r>
      <w:r w:rsidR="00FE5A5A">
        <w:rPr>
          <w:sz w:val="26"/>
          <w:szCs w:val="26"/>
        </w:rPr>
        <w:t>the</w:t>
      </w:r>
      <w:r w:rsidR="00FE5A5A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>given student);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4) a list of x-year students enrolled in a given degree programme is </w:t>
      </w:r>
      <w:r w:rsidR="0074577A">
        <w:rPr>
          <w:sz w:val="26"/>
          <w:szCs w:val="26"/>
        </w:rPr>
        <w:t>sorted</w:t>
      </w:r>
      <w:r w:rsidRPr="006F03D1">
        <w:rPr>
          <w:sz w:val="26"/>
          <w:szCs w:val="26"/>
        </w:rPr>
        <w:t xml:space="preserve"> by norm</w:t>
      </w:r>
      <w:r w:rsidR="00C61AAE">
        <w:rPr>
          <w:sz w:val="26"/>
          <w:szCs w:val="26"/>
        </w:rPr>
        <w:t xml:space="preserve">alized credit-rating value in </w:t>
      </w:r>
      <w:r w:rsidRPr="006F03D1">
        <w:rPr>
          <w:sz w:val="26"/>
          <w:szCs w:val="26"/>
        </w:rPr>
        <w:t>decreasing</w:t>
      </w:r>
      <w:bookmarkStart w:id="0" w:name="_GoBack"/>
      <w:bookmarkEnd w:id="0"/>
      <w:r w:rsidRPr="006F03D1">
        <w:rPr>
          <w:sz w:val="26"/>
          <w:szCs w:val="26"/>
        </w:rPr>
        <w:t xml:space="preserve"> order;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5) </w:t>
      </w:r>
      <w:proofErr w:type="gramStart"/>
      <w:r w:rsidRPr="006F03D1">
        <w:rPr>
          <w:sz w:val="26"/>
          <w:szCs w:val="26"/>
        </w:rPr>
        <w:t>a</w:t>
      </w:r>
      <w:proofErr w:type="gramEnd"/>
      <w:r w:rsidRPr="006F03D1">
        <w:rPr>
          <w:sz w:val="26"/>
          <w:szCs w:val="26"/>
        </w:rPr>
        <w:t xml:space="preserve"> student is assigned a place in the aforementioned list; the first place is assigned for the highest credit-rating value;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6) </w:t>
      </w:r>
      <w:proofErr w:type="gramStart"/>
      <w:r w:rsidRPr="006F03D1">
        <w:rPr>
          <w:sz w:val="26"/>
          <w:szCs w:val="26"/>
        </w:rPr>
        <w:t>a</w:t>
      </w:r>
      <w:proofErr w:type="gramEnd"/>
      <w:r w:rsidRPr="006F03D1">
        <w:rPr>
          <w:sz w:val="26"/>
          <w:szCs w:val="26"/>
        </w:rPr>
        <w:t xml:space="preserve"> student's percentile is then calculated, which is expressed as a percentage: the student's place (</w:t>
      </w:r>
      <w:r w:rsidR="0074577A">
        <w:rPr>
          <w:sz w:val="26"/>
          <w:szCs w:val="26"/>
        </w:rPr>
        <w:t xml:space="preserve"> see p. </w:t>
      </w:r>
      <w:r w:rsidRPr="006F03D1">
        <w:rPr>
          <w:sz w:val="26"/>
          <w:szCs w:val="26"/>
        </w:rPr>
        <w:t>5</w:t>
      </w:r>
      <w:r w:rsidR="0074577A">
        <w:rPr>
          <w:sz w:val="26"/>
          <w:szCs w:val="26"/>
        </w:rPr>
        <w:t xml:space="preserve"> above</w:t>
      </w:r>
      <w:r w:rsidRPr="006F03D1">
        <w:rPr>
          <w:sz w:val="26"/>
          <w:szCs w:val="26"/>
        </w:rPr>
        <w:t xml:space="preserve">) minus 1, divided by the number of x-year students enrolled in </w:t>
      </w:r>
      <w:r w:rsidR="00FE5A5A">
        <w:rPr>
          <w:sz w:val="26"/>
          <w:szCs w:val="26"/>
        </w:rPr>
        <w:t xml:space="preserve">the </w:t>
      </w:r>
      <w:r w:rsidRPr="006F03D1">
        <w:rPr>
          <w:sz w:val="26"/>
          <w:szCs w:val="26"/>
        </w:rPr>
        <w:t>given degree programme;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7) </w:t>
      </w:r>
      <w:proofErr w:type="gramStart"/>
      <w:r w:rsidRPr="006F03D1">
        <w:rPr>
          <w:sz w:val="26"/>
          <w:szCs w:val="26"/>
        </w:rPr>
        <w:t>steps</w:t>
      </w:r>
      <w:proofErr w:type="gramEnd"/>
      <w:r w:rsidRPr="006F03D1">
        <w:rPr>
          <w:sz w:val="26"/>
          <w:szCs w:val="26"/>
        </w:rPr>
        <w:t xml:space="preserve"> 1) - 6) are repeated for the second to last semester</w:t>
      </w:r>
      <w:r w:rsidR="00FE5A5A">
        <w:rPr>
          <w:sz w:val="26"/>
          <w:szCs w:val="26"/>
        </w:rPr>
        <w:t>; t</w:t>
      </w:r>
      <w:r w:rsidRPr="006F03D1">
        <w:rPr>
          <w:sz w:val="26"/>
          <w:szCs w:val="26"/>
        </w:rPr>
        <w:t xml:space="preserve">he sum of both percentile values is </w:t>
      </w:r>
      <w:r w:rsidR="00FE5A5A">
        <w:rPr>
          <w:sz w:val="26"/>
          <w:szCs w:val="26"/>
        </w:rPr>
        <w:t xml:space="preserve">then </w:t>
      </w:r>
      <w:r w:rsidRPr="006F03D1">
        <w:rPr>
          <w:sz w:val="26"/>
          <w:szCs w:val="26"/>
        </w:rPr>
        <w:t>calculated;</w:t>
      </w:r>
    </w:p>
    <w:p w:rsidR="006F03D1" w:rsidRPr="006F03D1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8) </w:t>
      </w:r>
      <w:proofErr w:type="gramStart"/>
      <w:r w:rsidRPr="006F03D1">
        <w:rPr>
          <w:sz w:val="26"/>
          <w:szCs w:val="26"/>
        </w:rPr>
        <w:t>a</w:t>
      </w:r>
      <w:proofErr w:type="gramEnd"/>
      <w:r w:rsidRPr="006F03D1">
        <w:rPr>
          <w:sz w:val="26"/>
          <w:szCs w:val="26"/>
        </w:rPr>
        <w:t xml:space="preserve"> list of percentile values over the </w:t>
      </w:r>
      <w:r w:rsidR="00FE5A5A">
        <w:rPr>
          <w:sz w:val="26"/>
          <w:szCs w:val="26"/>
        </w:rPr>
        <w:t>two</w:t>
      </w:r>
      <w:r w:rsidR="00FE5A5A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 xml:space="preserve">most recent semesters is drawn up in </w:t>
      </w:r>
      <w:r w:rsidR="00FE5A5A">
        <w:rPr>
          <w:sz w:val="26"/>
          <w:szCs w:val="26"/>
        </w:rPr>
        <w:t>ascending</w:t>
      </w:r>
      <w:r w:rsidR="00FE5A5A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>order;</w:t>
      </w:r>
    </w:p>
    <w:p w:rsidR="006D6120" w:rsidRDefault="006F03D1" w:rsidP="006F03D1">
      <w:pPr>
        <w:pStyle w:val="a7"/>
        <w:ind w:firstLine="567"/>
        <w:jc w:val="both"/>
        <w:rPr>
          <w:sz w:val="26"/>
          <w:szCs w:val="26"/>
        </w:rPr>
      </w:pPr>
      <w:r w:rsidRPr="006F03D1">
        <w:rPr>
          <w:sz w:val="26"/>
          <w:szCs w:val="26"/>
        </w:rPr>
        <w:t xml:space="preserve">9) </w:t>
      </w:r>
      <w:proofErr w:type="gramStart"/>
      <w:r w:rsidRPr="006F03D1">
        <w:rPr>
          <w:sz w:val="26"/>
          <w:szCs w:val="26"/>
        </w:rPr>
        <w:t>if</w:t>
      </w:r>
      <w:proofErr w:type="gramEnd"/>
      <w:r w:rsidRPr="006F03D1">
        <w:rPr>
          <w:sz w:val="26"/>
          <w:szCs w:val="26"/>
        </w:rPr>
        <w:t xml:space="preserve"> two or more </w:t>
      </w:r>
      <w:r w:rsidR="0074577A">
        <w:rPr>
          <w:sz w:val="26"/>
          <w:szCs w:val="26"/>
        </w:rPr>
        <w:t>candidate</w:t>
      </w:r>
      <w:r w:rsidRPr="006F03D1">
        <w:rPr>
          <w:sz w:val="26"/>
          <w:szCs w:val="26"/>
        </w:rPr>
        <w:t>s have the same percentile values, an annual weighted average grade</w:t>
      </w:r>
      <w:r w:rsidR="00D72922">
        <w:rPr>
          <w:rStyle w:val="a5"/>
          <w:sz w:val="26"/>
          <w:szCs w:val="26"/>
        </w:rPr>
        <w:footnoteReference w:id="10"/>
      </w:r>
      <w:r w:rsidRPr="006F03D1">
        <w:rPr>
          <w:sz w:val="26"/>
          <w:szCs w:val="26"/>
        </w:rPr>
        <w:t xml:space="preserve"> for each student </w:t>
      </w:r>
      <w:r w:rsidR="00FE5A5A">
        <w:rPr>
          <w:sz w:val="26"/>
          <w:szCs w:val="26"/>
        </w:rPr>
        <w:t>shall be</w:t>
      </w:r>
      <w:r w:rsidR="00FE5A5A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>calculated</w:t>
      </w:r>
      <w:r w:rsidR="00FE5A5A">
        <w:rPr>
          <w:sz w:val="26"/>
          <w:szCs w:val="26"/>
        </w:rPr>
        <w:t>;</w:t>
      </w:r>
      <w:r w:rsidR="00FE5A5A" w:rsidRPr="006F03D1">
        <w:rPr>
          <w:sz w:val="26"/>
          <w:szCs w:val="26"/>
        </w:rPr>
        <w:t xml:space="preserve"> </w:t>
      </w:r>
      <w:r w:rsidRPr="006F03D1">
        <w:rPr>
          <w:sz w:val="26"/>
          <w:szCs w:val="26"/>
        </w:rPr>
        <w:t xml:space="preserve">if the latter is also </w:t>
      </w:r>
      <w:r w:rsidR="009942EB">
        <w:rPr>
          <w:sz w:val="26"/>
          <w:szCs w:val="26"/>
        </w:rPr>
        <w:t>identical</w:t>
      </w:r>
      <w:r w:rsidRPr="006F03D1">
        <w:rPr>
          <w:sz w:val="26"/>
          <w:szCs w:val="26"/>
        </w:rPr>
        <w:t>, then the annual average grade</w:t>
      </w:r>
      <w:r w:rsidR="00D72922">
        <w:rPr>
          <w:rStyle w:val="a5"/>
          <w:sz w:val="26"/>
          <w:szCs w:val="26"/>
        </w:rPr>
        <w:footnoteReference w:id="11"/>
      </w:r>
      <w:r w:rsidRPr="006F03D1">
        <w:rPr>
          <w:sz w:val="26"/>
          <w:szCs w:val="26"/>
        </w:rPr>
        <w:t xml:space="preserve"> is established for each student, after which </w:t>
      </w:r>
      <w:r w:rsidR="00860F12">
        <w:rPr>
          <w:sz w:val="26"/>
          <w:szCs w:val="26"/>
        </w:rPr>
        <w:t>they are</w:t>
      </w:r>
      <w:r w:rsidRPr="006F03D1">
        <w:rPr>
          <w:sz w:val="26"/>
          <w:szCs w:val="26"/>
        </w:rPr>
        <w:t xml:space="preserve"> assigned a place in the final list.</w:t>
      </w:r>
    </w:p>
    <w:p w:rsidR="00D72922" w:rsidRPr="00EB59C0" w:rsidRDefault="00D72922" w:rsidP="00451217">
      <w:pPr>
        <w:pStyle w:val="a7"/>
        <w:ind w:firstLine="567"/>
        <w:jc w:val="both"/>
        <w:rPr>
          <w:sz w:val="26"/>
          <w:szCs w:val="26"/>
        </w:rPr>
      </w:pPr>
      <w:r w:rsidRPr="00EB59C0">
        <w:rPr>
          <w:sz w:val="26"/>
          <w:szCs w:val="26"/>
        </w:rPr>
        <w:t xml:space="preserve">8. </w:t>
      </w:r>
      <w:r w:rsidR="004F6102" w:rsidRPr="00EB59C0">
        <w:rPr>
          <w:sz w:val="26"/>
          <w:szCs w:val="26"/>
        </w:rPr>
        <w:t xml:space="preserve">An expert group </w:t>
      </w:r>
      <w:proofErr w:type="gramStart"/>
      <w:r w:rsidR="004F6102" w:rsidRPr="00EB59C0">
        <w:rPr>
          <w:sz w:val="26"/>
          <w:szCs w:val="26"/>
        </w:rPr>
        <w:t xml:space="preserve">shall be </w:t>
      </w:r>
      <w:r w:rsidR="00451217" w:rsidRPr="00EB59C0">
        <w:rPr>
          <w:sz w:val="26"/>
          <w:szCs w:val="26"/>
        </w:rPr>
        <w:t>set up</w:t>
      </w:r>
      <w:proofErr w:type="gramEnd"/>
      <w:r w:rsidR="004F6102" w:rsidRPr="00EB59C0">
        <w:rPr>
          <w:sz w:val="26"/>
          <w:szCs w:val="26"/>
        </w:rPr>
        <w:t xml:space="preserve"> by the University-wide Scholarship Committee</w:t>
      </w:r>
      <w:r w:rsidR="007F7E2B" w:rsidRPr="00EB59C0">
        <w:rPr>
          <w:sz w:val="26"/>
          <w:szCs w:val="26"/>
        </w:rPr>
        <w:t xml:space="preserve"> in order to </w:t>
      </w:r>
      <w:r w:rsidR="00451217" w:rsidRPr="00EB59C0">
        <w:rPr>
          <w:sz w:val="26"/>
          <w:szCs w:val="26"/>
        </w:rPr>
        <w:t>review</w:t>
      </w:r>
      <w:r w:rsidR="007F7E2B" w:rsidRPr="00EB59C0">
        <w:rPr>
          <w:sz w:val="26"/>
          <w:szCs w:val="26"/>
        </w:rPr>
        <w:t xml:space="preserve"> </w:t>
      </w:r>
      <w:r w:rsidR="00860F12" w:rsidRPr="00EB59C0">
        <w:rPr>
          <w:sz w:val="26"/>
          <w:szCs w:val="26"/>
        </w:rPr>
        <w:t xml:space="preserve">the </w:t>
      </w:r>
      <w:r w:rsidR="007F7E2B" w:rsidRPr="00EB59C0">
        <w:rPr>
          <w:sz w:val="26"/>
          <w:szCs w:val="26"/>
        </w:rPr>
        <w:t>achievements</w:t>
      </w:r>
      <w:r w:rsidR="00174E5B" w:rsidRPr="00EB59C0">
        <w:rPr>
          <w:sz w:val="26"/>
          <w:szCs w:val="26"/>
        </w:rPr>
        <w:t xml:space="preserve"> </w:t>
      </w:r>
      <w:r w:rsidR="007F7E2B" w:rsidRPr="00EB59C0">
        <w:rPr>
          <w:sz w:val="26"/>
          <w:szCs w:val="26"/>
        </w:rPr>
        <w:t xml:space="preserve">specified in </w:t>
      </w:r>
      <w:r w:rsidR="0074577A">
        <w:rPr>
          <w:sz w:val="26"/>
          <w:szCs w:val="26"/>
        </w:rPr>
        <w:t>p.</w:t>
      </w:r>
      <w:r w:rsidR="007F7E2B" w:rsidRPr="00EB59C0">
        <w:rPr>
          <w:sz w:val="26"/>
          <w:szCs w:val="26"/>
        </w:rPr>
        <w:t xml:space="preserve"> </w:t>
      </w:r>
      <w:r w:rsidRPr="00EB59C0">
        <w:rPr>
          <w:sz w:val="26"/>
          <w:szCs w:val="26"/>
        </w:rPr>
        <w:t>4.1</w:t>
      </w:r>
      <w:r w:rsidR="007F7E2B" w:rsidRPr="00EB59C0">
        <w:rPr>
          <w:sz w:val="26"/>
          <w:szCs w:val="26"/>
        </w:rPr>
        <w:t xml:space="preserve"> of</w:t>
      </w:r>
      <w:r w:rsidR="0074577A">
        <w:rPr>
          <w:sz w:val="26"/>
          <w:szCs w:val="26"/>
        </w:rPr>
        <w:t xml:space="preserve"> the Regulations</w:t>
      </w:r>
      <w:r w:rsidRPr="00EB59C0">
        <w:rPr>
          <w:sz w:val="26"/>
          <w:szCs w:val="26"/>
        </w:rPr>
        <w:t xml:space="preserve">, </w:t>
      </w:r>
      <w:r w:rsidR="00174E5B" w:rsidRPr="00EB59C0">
        <w:rPr>
          <w:sz w:val="26"/>
          <w:szCs w:val="26"/>
        </w:rPr>
        <w:t xml:space="preserve">as per the information provided by </w:t>
      </w:r>
      <w:r w:rsidR="0074577A">
        <w:rPr>
          <w:sz w:val="26"/>
          <w:szCs w:val="26"/>
        </w:rPr>
        <w:t>candidates</w:t>
      </w:r>
      <w:r w:rsidR="0074577A" w:rsidRPr="00EB59C0">
        <w:rPr>
          <w:sz w:val="26"/>
          <w:szCs w:val="26"/>
        </w:rPr>
        <w:t xml:space="preserve"> </w:t>
      </w:r>
      <w:r w:rsidR="00174E5B" w:rsidRPr="00EB59C0">
        <w:rPr>
          <w:sz w:val="26"/>
          <w:szCs w:val="26"/>
        </w:rPr>
        <w:t xml:space="preserve">for </w:t>
      </w:r>
      <w:r w:rsidR="00860F12" w:rsidRPr="00EB59C0">
        <w:rPr>
          <w:sz w:val="26"/>
          <w:szCs w:val="26"/>
        </w:rPr>
        <w:t xml:space="preserve">an </w:t>
      </w:r>
      <w:r w:rsidR="00174E5B" w:rsidRPr="00EB59C0">
        <w:rPr>
          <w:sz w:val="26"/>
          <w:szCs w:val="26"/>
        </w:rPr>
        <w:t>increased state academic scholarship.</w:t>
      </w:r>
      <w:r w:rsidRPr="00EB59C0">
        <w:rPr>
          <w:sz w:val="26"/>
          <w:szCs w:val="26"/>
        </w:rPr>
        <w:t xml:space="preserve"> </w:t>
      </w:r>
      <w:r w:rsidR="00860F12" w:rsidRPr="00EB59C0">
        <w:rPr>
          <w:sz w:val="26"/>
          <w:szCs w:val="26"/>
        </w:rPr>
        <w:t xml:space="preserve">This </w:t>
      </w:r>
      <w:r w:rsidR="00D01CDA" w:rsidRPr="00EB59C0">
        <w:rPr>
          <w:sz w:val="26"/>
          <w:szCs w:val="26"/>
        </w:rPr>
        <w:t xml:space="preserve">expert group </w:t>
      </w:r>
      <w:r w:rsidR="00451217" w:rsidRPr="00EB59C0">
        <w:rPr>
          <w:sz w:val="26"/>
          <w:szCs w:val="26"/>
        </w:rPr>
        <w:t xml:space="preserve">shall include HSE </w:t>
      </w:r>
      <w:r w:rsidR="0074577A">
        <w:rPr>
          <w:sz w:val="26"/>
          <w:szCs w:val="26"/>
        </w:rPr>
        <w:t xml:space="preserve">University </w:t>
      </w:r>
      <w:r w:rsidR="00860F12" w:rsidRPr="00EB59C0">
        <w:rPr>
          <w:sz w:val="26"/>
          <w:szCs w:val="26"/>
        </w:rPr>
        <w:t xml:space="preserve">staff </w:t>
      </w:r>
      <w:r w:rsidR="00451217" w:rsidRPr="00EB59C0">
        <w:rPr>
          <w:sz w:val="26"/>
          <w:szCs w:val="26"/>
        </w:rPr>
        <w:t xml:space="preserve">(50%) and HSE </w:t>
      </w:r>
      <w:r w:rsidR="0074577A">
        <w:rPr>
          <w:sz w:val="26"/>
          <w:szCs w:val="26"/>
        </w:rPr>
        <w:t xml:space="preserve">University </w:t>
      </w:r>
      <w:r w:rsidR="00451217" w:rsidRPr="00EB59C0">
        <w:rPr>
          <w:sz w:val="26"/>
          <w:szCs w:val="26"/>
        </w:rPr>
        <w:t xml:space="preserve">students recommended by the </w:t>
      </w:r>
      <w:r w:rsidR="00860F12" w:rsidRPr="00EB59C0">
        <w:rPr>
          <w:sz w:val="26"/>
          <w:szCs w:val="26"/>
        </w:rPr>
        <w:t xml:space="preserve">University’s own </w:t>
      </w:r>
      <w:r w:rsidR="00451217" w:rsidRPr="00EB59C0">
        <w:rPr>
          <w:sz w:val="26"/>
          <w:szCs w:val="26"/>
        </w:rPr>
        <w:t xml:space="preserve">student self-government bodies. At least </w:t>
      </w:r>
      <w:proofErr w:type="gramStart"/>
      <w:r w:rsidR="0074577A">
        <w:rPr>
          <w:sz w:val="26"/>
          <w:szCs w:val="26"/>
        </w:rPr>
        <w:t>4</w:t>
      </w:r>
      <w:proofErr w:type="gramEnd"/>
      <w:r w:rsidR="0074577A">
        <w:rPr>
          <w:sz w:val="26"/>
          <w:szCs w:val="26"/>
        </w:rPr>
        <w:t xml:space="preserve"> (</w:t>
      </w:r>
      <w:r w:rsidR="00860F12" w:rsidRPr="00EB59C0">
        <w:rPr>
          <w:sz w:val="26"/>
          <w:szCs w:val="26"/>
        </w:rPr>
        <w:t>four</w:t>
      </w:r>
      <w:r w:rsidR="0074577A">
        <w:rPr>
          <w:sz w:val="26"/>
          <w:szCs w:val="26"/>
        </w:rPr>
        <w:t>)</w:t>
      </w:r>
      <w:r w:rsidR="00860F12" w:rsidRPr="00EB59C0">
        <w:rPr>
          <w:sz w:val="26"/>
          <w:szCs w:val="26"/>
        </w:rPr>
        <w:t xml:space="preserve"> </w:t>
      </w:r>
      <w:r w:rsidR="00451217" w:rsidRPr="00EB59C0">
        <w:rPr>
          <w:sz w:val="26"/>
          <w:szCs w:val="26"/>
        </w:rPr>
        <w:t>persons must sit on the expert group.</w:t>
      </w:r>
    </w:p>
    <w:sectPr w:rsidR="00D72922" w:rsidRPr="00EB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4D" w:rsidRDefault="0004484D" w:rsidP="0004484D">
      <w:r>
        <w:separator/>
      </w:r>
    </w:p>
  </w:endnote>
  <w:endnote w:type="continuationSeparator" w:id="0">
    <w:p w:rsidR="0004484D" w:rsidRDefault="0004484D" w:rsidP="0004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4D" w:rsidRDefault="0004484D" w:rsidP="0004484D">
      <w:r>
        <w:separator/>
      </w:r>
    </w:p>
  </w:footnote>
  <w:footnote w:type="continuationSeparator" w:id="0">
    <w:p w:rsidR="0004484D" w:rsidRDefault="0004484D" w:rsidP="0004484D">
      <w:r>
        <w:continuationSeparator/>
      </w:r>
    </w:p>
  </w:footnote>
  <w:footnote w:id="1">
    <w:p w:rsidR="0004484D" w:rsidRPr="00EB59C0" w:rsidRDefault="0004484D" w:rsidP="00B9008F">
      <w:pPr>
        <w:pStyle w:val="a3"/>
        <w:jc w:val="both"/>
        <w:rPr>
          <w:lang w:val="en-US"/>
        </w:rPr>
      </w:pPr>
      <w:r w:rsidRPr="007A797E">
        <w:rPr>
          <w:rStyle w:val="a5"/>
        </w:rPr>
        <w:footnoteRef/>
      </w:r>
      <w:r w:rsidR="008778E6" w:rsidRPr="007A797E">
        <w:rPr>
          <w:lang w:val="en-US"/>
        </w:rPr>
        <w:t xml:space="preserve"> </w:t>
      </w:r>
      <w:r w:rsidR="00E11E7D" w:rsidRPr="00EB59C0">
        <w:t>With the exception of</w:t>
      </w:r>
      <w:r w:rsidR="008778E6" w:rsidRPr="00EB59C0">
        <w:rPr>
          <w:lang w:val="en-US"/>
        </w:rPr>
        <w:t xml:space="preserve"> </w:t>
      </w:r>
      <w:r w:rsidR="008778E6" w:rsidRPr="00EB59C0">
        <w:t>Olympiads</w:t>
      </w:r>
      <w:r w:rsidR="008778E6" w:rsidRPr="00EB59C0">
        <w:rPr>
          <w:lang w:val="en-US"/>
        </w:rPr>
        <w:t xml:space="preserve"> </w:t>
      </w:r>
      <w:r w:rsidRPr="00EB59C0">
        <w:t>for</w:t>
      </w:r>
      <w:r w:rsidRPr="00EB59C0">
        <w:rPr>
          <w:lang w:val="en-US"/>
        </w:rPr>
        <w:t xml:space="preserve"> </w:t>
      </w:r>
      <w:r w:rsidRPr="00EB59C0">
        <w:t>HSE</w:t>
      </w:r>
      <w:r w:rsidRPr="00EB59C0">
        <w:rPr>
          <w:lang w:val="en-US"/>
        </w:rPr>
        <w:t xml:space="preserve"> </w:t>
      </w:r>
      <w:r w:rsidR="007A797E" w:rsidRPr="00EB59C0">
        <w:rPr>
          <w:lang w:val="en-US"/>
        </w:rPr>
        <w:t xml:space="preserve">University </w:t>
      </w:r>
      <w:r w:rsidR="008778E6" w:rsidRPr="00EB59C0">
        <w:rPr>
          <w:lang w:val="en-US"/>
        </w:rPr>
        <w:t>students and graduates</w:t>
      </w:r>
      <w:r w:rsidR="00D10A95" w:rsidRPr="00EB59C0">
        <w:rPr>
          <w:lang w:val="en-US"/>
        </w:rPr>
        <w:t>, as well as</w:t>
      </w:r>
      <w:r w:rsidR="000B29EF" w:rsidRPr="00EB59C0">
        <w:rPr>
          <w:lang w:val="en-US"/>
        </w:rPr>
        <w:t xml:space="preserve"> other Olympiads, contests and competitions</w:t>
      </w:r>
      <w:r w:rsidR="00CF73E5" w:rsidRPr="00EB59C0">
        <w:rPr>
          <w:lang w:val="en-US"/>
        </w:rPr>
        <w:t xml:space="preserve">, </w:t>
      </w:r>
      <w:r w:rsidR="000B29EF" w:rsidRPr="00EB59C0">
        <w:rPr>
          <w:lang w:val="en-US"/>
        </w:rPr>
        <w:t xml:space="preserve">which provide participants with special rights and priorities for admission to </w:t>
      </w:r>
      <w:r w:rsidR="00D10A95" w:rsidRPr="00EB59C0">
        <w:rPr>
          <w:lang w:val="en-US"/>
        </w:rPr>
        <w:t xml:space="preserve">studies </w:t>
      </w:r>
      <w:r w:rsidR="000B29EF" w:rsidRPr="00EB59C0">
        <w:rPr>
          <w:lang w:val="en-US"/>
        </w:rPr>
        <w:t xml:space="preserve">at </w:t>
      </w:r>
      <w:r w:rsidR="00D10A95" w:rsidRPr="00EB59C0">
        <w:rPr>
          <w:lang w:val="en-US"/>
        </w:rPr>
        <w:t>institutions</w:t>
      </w:r>
      <w:r w:rsidR="000B29EF" w:rsidRPr="00EB59C0">
        <w:rPr>
          <w:lang w:val="en-US"/>
        </w:rPr>
        <w:t xml:space="preserve"> of higher education</w:t>
      </w:r>
      <w:r w:rsidR="00CF73E5" w:rsidRPr="00EB59C0">
        <w:rPr>
          <w:lang w:val="en-US"/>
        </w:rPr>
        <w:t>.</w:t>
      </w:r>
    </w:p>
  </w:footnote>
  <w:footnote w:id="2">
    <w:p w:rsidR="0004484D" w:rsidRPr="00E023EC" w:rsidRDefault="0004484D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t xml:space="preserve"> If increased state academic scholarships are awarded to Master’s students, their achievements </w:t>
      </w:r>
      <w:r w:rsidR="001D4DFE" w:rsidRPr="00EB59C0">
        <w:t xml:space="preserve">shown </w:t>
      </w:r>
      <w:r w:rsidRPr="00EB59C0">
        <w:t xml:space="preserve">prior to their admission to </w:t>
      </w:r>
      <w:r w:rsidR="001D4DFE" w:rsidRPr="00EB59C0">
        <w:t>HSE</w:t>
      </w:r>
      <w:r w:rsidR="007A797E" w:rsidRPr="00EB59C0">
        <w:t xml:space="preserve"> University</w:t>
      </w:r>
      <w:r w:rsidRPr="00EB59C0">
        <w:t xml:space="preserve"> Master’s programmes</w:t>
      </w:r>
      <w:r w:rsidR="001D4DFE" w:rsidRPr="00EB59C0">
        <w:t xml:space="preserve"> shall be taken into account</w:t>
      </w:r>
      <w:r w:rsidRPr="00EB59C0">
        <w:t xml:space="preserve">, provided that such achievements </w:t>
      </w:r>
      <w:r w:rsidR="002C6CB6" w:rsidRPr="00EB59C0">
        <w:t>were</w:t>
      </w:r>
      <w:r w:rsidRPr="00EB59C0">
        <w:t xml:space="preserve"> </w:t>
      </w:r>
      <w:r w:rsidR="007A797E" w:rsidRPr="00EB59C0">
        <w:t xml:space="preserve">gained </w:t>
      </w:r>
      <w:r w:rsidR="00CF73E5" w:rsidRPr="00EB59C0">
        <w:t>during the</w:t>
      </w:r>
      <w:r w:rsidR="00D10A95" w:rsidRPr="00EB59C0">
        <w:t>ir</w:t>
      </w:r>
      <w:r w:rsidR="00CF73E5" w:rsidRPr="00EB59C0">
        <w:t xml:space="preserve"> period of study at HSE University </w:t>
      </w:r>
      <w:r w:rsidR="00D10A95" w:rsidRPr="00EB59C0">
        <w:t>in the</w:t>
      </w:r>
      <w:r w:rsidRPr="00EB59C0">
        <w:t xml:space="preserve"> year preceding the </w:t>
      </w:r>
      <w:r w:rsidR="008778E6" w:rsidRPr="00EB59C0">
        <w:t>competition dates</w:t>
      </w:r>
      <w:r w:rsidRPr="00EB59C0">
        <w:t xml:space="preserve">. </w:t>
      </w:r>
    </w:p>
  </w:footnote>
  <w:footnote w:id="3">
    <w:p w:rsidR="008778E6" w:rsidRPr="00770916" w:rsidRDefault="008778E6" w:rsidP="00EB59C0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A531FF">
        <w:rPr>
          <w:lang w:val="en-US"/>
        </w:rPr>
        <w:t xml:space="preserve"> </w:t>
      </w:r>
      <w:r w:rsidRPr="00EB59C0">
        <w:rPr>
          <w:lang w:val="en-US"/>
        </w:rPr>
        <w:t xml:space="preserve">Achievements in terms of project </w:t>
      </w:r>
      <w:r w:rsidR="00A531FF" w:rsidRPr="00EB59C0">
        <w:rPr>
          <w:lang w:val="en-US"/>
        </w:rPr>
        <w:t>activities can be confirmed by certificates, diplomas or letters of recognition attesting to the high quality of project results.</w:t>
      </w:r>
      <w:r w:rsidR="002B3FF5" w:rsidRPr="00EB59C0">
        <w:t xml:space="preserve"> </w:t>
      </w:r>
      <w:r w:rsidR="00107FA2" w:rsidRPr="00EB59C0">
        <w:t xml:space="preserve">The results </w:t>
      </w:r>
      <w:r w:rsidR="000B29EF" w:rsidRPr="00EB59C0">
        <w:t xml:space="preserve">of project activities included in </w:t>
      </w:r>
      <w:r w:rsidR="00107FA2" w:rsidRPr="00EB59C0">
        <w:t xml:space="preserve">a </w:t>
      </w:r>
      <w:r w:rsidR="000B29EF" w:rsidRPr="00EB59C0">
        <w:t xml:space="preserve">student’s individual curriculum </w:t>
      </w:r>
      <w:proofErr w:type="gramStart"/>
      <w:r w:rsidR="000B29EF" w:rsidRPr="00EB59C0">
        <w:t>shall not be considered</w:t>
      </w:r>
      <w:proofErr w:type="gramEnd"/>
      <w:r w:rsidR="000B29EF" w:rsidRPr="00EB59C0">
        <w:t xml:space="preserve">. </w:t>
      </w:r>
    </w:p>
  </w:footnote>
  <w:footnote w:id="4">
    <w:p w:rsidR="00E479A8" w:rsidRPr="00EB59C0" w:rsidRDefault="00E479A8" w:rsidP="00EB59C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1D4DFE" w:rsidRPr="00EB59C0">
        <w:t>A</w:t>
      </w:r>
      <w:r w:rsidRPr="00EB59C0">
        <w:t xml:space="preserve"> certificate on</w:t>
      </w:r>
      <w:r w:rsidR="00555134" w:rsidRPr="00EB59C0">
        <w:t xml:space="preserve"> the</w:t>
      </w:r>
      <w:r w:rsidRPr="00EB59C0">
        <w:t xml:space="preserve"> implementation of experimental and R&amp;D results.</w:t>
      </w:r>
    </w:p>
  </w:footnote>
  <w:footnote w:id="5">
    <w:p w:rsidR="0004484D" w:rsidRPr="000B29EF" w:rsidRDefault="0004484D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rPr>
          <w:lang w:val="en-US"/>
        </w:rPr>
        <w:t xml:space="preserve"> </w:t>
      </w:r>
      <w:r w:rsidR="00555134" w:rsidRPr="00EB59C0">
        <w:t>With the exception of</w:t>
      </w:r>
      <w:r w:rsidRPr="00EB59C0">
        <w:rPr>
          <w:lang w:val="en-US"/>
        </w:rPr>
        <w:t xml:space="preserve"> </w:t>
      </w:r>
      <w:r w:rsidRPr="00EB59C0">
        <w:t>Olympiads</w:t>
      </w:r>
      <w:r w:rsidRPr="00EB59C0">
        <w:rPr>
          <w:lang w:val="en-US"/>
        </w:rPr>
        <w:t xml:space="preserve"> </w:t>
      </w:r>
      <w:r w:rsidR="00E479A8" w:rsidRPr="00EB59C0">
        <w:t>for</w:t>
      </w:r>
      <w:r w:rsidR="00E479A8" w:rsidRPr="00EB59C0">
        <w:rPr>
          <w:lang w:val="en-US"/>
        </w:rPr>
        <w:t xml:space="preserve"> </w:t>
      </w:r>
      <w:r w:rsidR="00E479A8" w:rsidRPr="00EB59C0">
        <w:t>HSE</w:t>
      </w:r>
      <w:r w:rsidR="00E479A8" w:rsidRPr="00EB59C0">
        <w:rPr>
          <w:lang w:val="en-US"/>
        </w:rPr>
        <w:t xml:space="preserve"> </w:t>
      </w:r>
      <w:r w:rsidR="00B9008F" w:rsidRPr="00EB59C0">
        <w:rPr>
          <w:lang w:val="en-US"/>
        </w:rPr>
        <w:t xml:space="preserve">University </w:t>
      </w:r>
      <w:r w:rsidR="00E479A8" w:rsidRPr="00EB59C0">
        <w:rPr>
          <w:lang w:val="en-US"/>
        </w:rPr>
        <w:t xml:space="preserve">students and </w:t>
      </w:r>
      <w:r w:rsidR="00555134" w:rsidRPr="00EB59C0">
        <w:rPr>
          <w:lang w:val="en-US"/>
        </w:rPr>
        <w:t xml:space="preserve">graduates, as well as </w:t>
      </w:r>
      <w:r w:rsidR="000B29EF" w:rsidRPr="00EB59C0">
        <w:rPr>
          <w:lang w:val="en-US"/>
        </w:rPr>
        <w:t xml:space="preserve">other Olympiads, contests and competitions, which provide participants with special rights and priorities for admission to </w:t>
      </w:r>
      <w:r w:rsidR="00555134" w:rsidRPr="00EB59C0">
        <w:rPr>
          <w:lang w:val="en-US"/>
        </w:rPr>
        <w:t xml:space="preserve">studies </w:t>
      </w:r>
      <w:r w:rsidR="000B29EF" w:rsidRPr="00EB59C0">
        <w:rPr>
          <w:lang w:val="en-US"/>
        </w:rPr>
        <w:t xml:space="preserve">at </w:t>
      </w:r>
      <w:r w:rsidR="00555134" w:rsidRPr="00EB59C0">
        <w:rPr>
          <w:lang w:val="en-US"/>
        </w:rPr>
        <w:t xml:space="preserve">institutions </w:t>
      </w:r>
      <w:r w:rsidR="000B29EF" w:rsidRPr="00EB59C0">
        <w:rPr>
          <w:lang w:val="en-US"/>
        </w:rPr>
        <w:t>of higher education</w:t>
      </w:r>
      <w:r w:rsidR="002B3FF5" w:rsidRPr="00EB59C0">
        <w:rPr>
          <w:lang w:val="en-US"/>
        </w:rPr>
        <w:t>.</w:t>
      </w:r>
    </w:p>
  </w:footnote>
  <w:footnote w:id="6">
    <w:p w:rsidR="00AF21C8" w:rsidRPr="008808B3" w:rsidRDefault="00AF21C8" w:rsidP="00EB59C0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 w:rsidRPr="00AF21C8">
        <w:rPr>
          <w:lang w:val="en-US"/>
        </w:rPr>
        <w:t xml:space="preserve"> </w:t>
      </w:r>
      <w:r>
        <w:rPr>
          <w:lang w:val="en-US"/>
        </w:rPr>
        <w:t>Results</w:t>
      </w:r>
      <w:r w:rsidRPr="00AF21C8">
        <w:rPr>
          <w:lang w:val="en-US"/>
        </w:rPr>
        <w:t xml:space="preserve"> </w:t>
      </w:r>
      <w:r w:rsidRPr="00EB59C0">
        <w:rPr>
          <w:lang w:val="en-US"/>
        </w:rPr>
        <w:t xml:space="preserve">obtained at subject-specific competitions, contests, including case championships, hackathons, etc. (i.e. </w:t>
      </w:r>
      <w:r w:rsidR="002D0E82" w:rsidRPr="00EB59C0">
        <w:rPr>
          <w:lang w:val="en-US"/>
        </w:rPr>
        <w:t>academic events</w:t>
      </w:r>
      <w:r w:rsidRPr="00EB59C0">
        <w:rPr>
          <w:lang w:val="en-US"/>
        </w:rPr>
        <w:t xml:space="preserve"> aimed at </w:t>
      </w:r>
      <w:r w:rsidR="001D4DFE" w:rsidRPr="00EB59C0">
        <w:rPr>
          <w:lang w:val="en-US"/>
        </w:rPr>
        <w:t>identifying</w:t>
      </w:r>
      <w:r w:rsidRPr="00EB59C0">
        <w:rPr>
          <w:lang w:val="en-US"/>
        </w:rPr>
        <w:t xml:space="preserve"> student knowledge </w:t>
      </w:r>
      <w:r w:rsidR="002B3FF5" w:rsidRPr="00EB59C0">
        <w:rPr>
          <w:lang w:val="en-US"/>
        </w:rPr>
        <w:t xml:space="preserve">and skills </w:t>
      </w:r>
      <w:r w:rsidRPr="00EB59C0">
        <w:rPr>
          <w:lang w:val="en-US"/>
        </w:rPr>
        <w:t xml:space="preserve">in a given field), </w:t>
      </w:r>
      <w:r w:rsidR="00B9008F" w:rsidRPr="00EB59C0">
        <w:rPr>
          <w:lang w:val="en-US"/>
        </w:rPr>
        <w:t>held face-to-face</w:t>
      </w:r>
      <w:r w:rsidRPr="00EB59C0">
        <w:rPr>
          <w:lang w:val="en-US"/>
        </w:rPr>
        <w:t xml:space="preserve">, shall be considered. </w:t>
      </w:r>
      <w:r w:rsidR="008808B3" w:rsidRPr="00EB59C0">
        <w:rPr>
          <w:lang w:val="en-US"/>
        </w:rPr>
        <w:t xml:space="preserve">Only the best result obtained at </w:t>
      </w:r>
      <w:r w:rsidR="00555134" w:rsidRPr="00EB59C0">
        <w:rPr>
          <w:lang w:val="en-US"/>
        </w:rPr>
        <w:t xml:space="preserve">a given </w:t>
      </w:r>
      <w:r w:rsidR="008808B3" w:rsidRPr="00EB59C0">
        <w:rPr>
          <w:lang w:val="en-US"/>
        </w:rPr>
        <w:t xml:space="preserve">event </w:t>
      </w:r>
      <w:proofErr w:type="gramStart"/>
      <w:r w:rsidR="008808B3" w:rsidRPr="00EB59C0">
        <w:rPr>
          <w:lang w:val="en-US"/>
        </w:rPr>
        <w:t>shall be taken</w:t>
      </w:r>
      <w:proofErr w:type="gramEnd"/>
      <w:r w:rsidR="008808B3" w:rsidRPr="00EB59C0">
        <w:rPr>
          <w:lang w:val="en-US"/>
        </w:rPr>
        <w:t xml:space="preserve"> into account</w:t>
      </w:r>
      <w:r w:rsidR="002B3FF5" w:rsidRPr="00EB59C0">
        <w:rPr>
          <w:lang w:val="en-US"/>
        </w:rPr>
        <w:t>.</w:t>
      </w:r>
      <w:r w:rsidRPr="00EB59C0">
        <w:rPr>
          <w:lang w:val="en-US"/>
        </w:rPr>
        <w:t xml:space="preserve"> </w:t>
      </w:r>
    </w:p>
  </w:footnote>
  <w:footnote w:id="7">
    <w:p w:rsidR="0004484D" w:rsidRPr="00EB59C0" w:rsidRDefault="0004484D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t xml:space="preserve"> If increased state academic scholarships are awarded to Master’s students, their achievements shown prior to their admission to HSE </w:t>
      </w:r>
      <w:r w:rsidR="005A50BD" w:rsidRPr="00EB59C0">
        <w:t xml:space="preserve">University </w:t>
      </w:r>
      <w:r w:rsidRPr="00EB59C0">
        <w:t>Master’s programmes</w:t>
      </w:r>
      <w:r w:rsidR="002C6CB6" w:rsidRPr="00EB59C0">
        <w:t xml:space="preserve"> shall be considered</w:t>
      </w:r>
      <w:r w:rsidRPr="00EB59C0">
        <w:t xml:space="preserve">, </w:t>
      </w:r>
      <w:proofErr w:type="gramStart"/>
      <w:r w:rsidRPr="00EB59C0">
        <w:t>provided that</w:t>
      </w:r>
      <w:proofErr w:type="gramEnd"/>
      <w:r w:rsidRPr="00EB59C0">
        <w:t xml:space="preserve"> </w:t>
      </w:r>
      <w:r w:rsidR="001D4DFE" w:rsidRPr="00EB59C0">
        <w:t>such</w:t>
      </w:r>
      <w:r w:rsidRPr="00EB59C0">
        <w:t xml:space="preserve"> achievements were recognized </w:t>
      </w:r>
      <w:r w:rsidR="00555134" w:rsidRPr="00EB59C0">
        <w:t xml:space="preserve">in </w:t>
      </w:r>
      <w:r w:rsidRPr="00EB59C0">
        <w:t>the year</w:t>
      </w:r>
      <w:r w:rsidR="002B3FF5" w:rsidRPr="00EB59C0">
        <w:t xml:space="preserve"> preceding competition dates</w:t>
      </w:r>
      <w:r w:rsidRPr="00EB59C0">
        <w:t>.</w:t>
      </w:r>
    </w:p>
  </w:footnote>
  <w:footnote w:id="8">
    <w:p w:rsidR="00D72922" w:rsidRPr="00EB59C0" w:rsidRDefault="00B5420F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t xml:space="preserve"> </w:t>
      </w:r>
      <w:r w:rsidR="009942EB" w:rsidRPr="00EB59C0">
        <w:rPr>
          <w:lang w:val="en-US"/>
        </w:rPr>
        <w:t>An i</w:t>
      </w:r>
      <w:r w:rsidRPr="00EB59C0">
        <w:rPr>
          <w:lang w:val="en-US"/>
        </w:rPr>
        <w:t>nternational event for the purposes of this document is an event</w:t>
      </w:r>
      <w:r w:rsidR="00A91A71" w:rsidRPr="00EB59C0">
        <w:rPr>
          <w:lang w:val="en-US"/>
        </w:rPr>
        <w:t xml:space="preserve"> satisfying the following criteria</w:t>
      </w:r>
      <w:r w:rsidR="00D72922" w:rsidRPr="00EB59C0">
        <w:rPr>
          <w:lang w:val="en-US"/>
        </w:rPr>
        <w:t xml:space="preserve">: </w:t>
      </w:r>
    </w:p>
    <w:p w:rsidR="00D72922" w:rsidRPr="00EB59C0" w:rsidRDefault="00D72922" w:rsidP="00EB59C0">
      <w:pPr>
        <w:pStyle w:val="a3"/>
        <w:jc w:val="both"/>
        <w:rPr>
          <w:lang w:val="en-US"/>
        </w:rPr>
      </w:pPr>
      <w:r w:rsidRPr="00EB59C0">
        <w:rPr>
          <w:lang w:val="en-US"/>
        </w:rPr>
        <w:t xml:space="preserve">1. </w:t>
      </w:r>
      <w:r w:rsidR="00061CE6" w:rsidRPr="00EB59C0">
        <w:rPr>
          <w:lang w:val="en-US"/>
        </w:rPr>
        <w:t xml:space="preserve">an </w:t>
      </w:r>
      <w:r w:rsidR="00A91A71" w:rsidRPr="00EB59C0">
        <w:rPr>
          <w:lang w:val="en-US"/>
        </w:rPr>
        <w:t xml:space="preserve">event organized by an official state or private association, organization, fund, or institution; </w:t>
      </w:r>
    </w:p>
    <w:p w:rsidR="00D72922" w:rsidRPr="00EB59C0" w:rsidRDefault="00BB18DC" w:rsidP="00EB59C0">
      <w:pPr>
        <w:pStyle w:val="a3"/>
        <w:jc w:val="both"/>
        <w:rPr>
          <w:lang w:val="en-US"/>
        </w:rPr>
      </w:pPr>
      <w:r w:rsidRPr="00EB59C0">
        <w:rPr>
          <w:lang w:val="en-US"/>
        </w:rPr>
        <w:t xml:space="preserve">2. </w:t>
      </w:r>
      <w:r w:rsidR="00061CE6" w:rsidRPr="00EB59C0">
        <w:rPr>
          <w:lang w:val="en-US"/>
        </w:rPr>
        <w:t xml:space="preserve">representatives </w:t>
      </w:r>
      <w:r w:rsidRPr="00EB59C0">
        <w:rPr>
          <w:lang w:val="en-US"/>
        </w:rPr>
        <w:t>of different countries</w:t>
      </w:r>
      <w:r w:rsidR="005A50BD" w:rsidRPr="00EB59C0">
        <w:rPr>
          <w:lang w:val="en-US"/>
        </w:rPr>
        <w:t xml:space="preserve"> may</w:t>
      </w:r>
      <w:r w:rsidRPr="00EB59C0">
        <w:rPr>
          <w:lang w:val="en-US"/>
        </w:rPr>
        <w:t xml:space="preserve"> take part in the competition; </w:t>
      </w:r>
    </w:p>
    <w:p w:rsidR="00B5420F" w:rsidRPr="00EB59C0" w:rsidRDefault="00D72922" w:rsidP="00EB59C0">
      <w:pPr>
        <w:pStyle w:val="a3"/>
        <w:jc w:val="both"/>
        <w:rPr>
          <w:lang w:val="en-US"/>
        </w:rPr>
      </w:pPr>
      <w:r w:rsidRPr="00EB59C0">
        <w:rPr>
          <w:lang w:val="en-US"/>
        </w:rPr>
        <w:t xml:space="preserve">3. </w:t>
      </w:r>
      <w:proofErr w:type="gramStart"/>
      <w:r w:rsidR="00061CE6" w:rsidRPr="00EB59C0">
        <w:rPr>
          <w:lang w:val="en-US"/>
        </w:rPr>
        <w:t>participants</w:t>
      </w:r>
      <w:proofErr w:type="gramEnd"/>
      <w:r w:rsidR="00061CE6" w:rsidRPr="00EB59C0">
        <w:rPr>
          <w:lang w:val="en-US"/>
        </w:rPr>
        <w:t xml:space="preserve"> </w:t>
      </w:r>
      <w:r w:rsidR="003A1AFC" w:rsidRPr="00EB59C0">
        <w:rPr>
          <w:lang w:val="en-US"/>
        </w:rPr>
        <w:t>will be assessed by the panel consisting of representatives of different countries, or at least</w:t>
      </w:r>
      <w:r w:rsidRPr="00EB59C0">
        <w:rPr>
          <w:lang w:val="en-US"/>
        </w:rPr>
        <w:t xml:space="preserve"> 25%</w:t>
      </w:r>
      <w:r w:rsidR="003A1AFC" w:rsidRPr="00EB59C0">
        <w:rPr>
          <w:lang w:val="en-US"/>
        </w:rPr>
        <w:t xml:space="preserve"> of participants come from abroad</w:t>
      </w:r>
      <w:r w:rsidR="005A50BD" w:rsidRPr="00EB59C0">
        <w:rPr>
          <w:lang w:val="en-US"/>
        </w:rPr>
        <w:t>.</w:t>
      </w:r>
    </w:p>
  </w:footnote>
  <w:footnote w:id="9">
    <w:p w:rsidR="00D72922" w:rsidRPr="00EB59C0" w:rsidRDefault="0026715C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t xml:space="preserve"> </w:t>
      </w:r>
      <w:r w:rsidRPr="00EB59C0">
        <w:rPr>
          <w:lang w:val="en-US"/>
        </w:rPr>
        <w:t>A</w:t>
      </w:r>
      <w:r w:rsidR="005A50BD" w:rsidRPr="00EB59C0">
        <w:rPr>
          <w:lang w:val="en-US"/>
        </w:rPr>
        <w:t>n all-</w:t>
      </w:r>
      <w:r w:rsidRPr="00EB59C0">
        <w:rPr>
          <w:lang w:val="en-US"/>
        </w:rPr>
        <w:t xml:space="preserve">Russian event for the purposes of this document is an event </w:t>
      </w:r>
      <w:r w:rsidR="00D72922" w:rsidRPr="00EB59C0">
        <w:rPr>
          <w:lang w:val="en-US"/>
        </w:rPr>
        <w:t>satisfying the following criteria:</w:t>
      </w:r>
    </w:p>
    <w:p w:rsidR="00770916" w:rsidRPr="00EB59C0" w:rsidRDefault="00770916" w:rsidP="00EB59C0">
      <w:pPr>
        <w:pStyle w:val="a3"/>
        <w:jc w:val="both"/>
        <w:rPr>
          <w:lang w:val="en-US"/>
        </w:rPr>
      </w:pPr>
      <w:r w:rsidRPr="00EB59C0">
        <w:rPr>
          <w:lang w:val="en-US"/>
        </w:rPr>
        <w:t xml:space="preserve">1. </w:t>
      </w:r>
      <w:r w:rsidR="00061CE6" w:rsidRPr="00EB59C0">
        <w:rPr>
          <w:lang w:val="en-US"/>
        </w:rPr>
        <w:t xml:space="preserve">an </w:t>
      </w:r>
      <w:r w:rsidRPr="00EB59C0">
        <w:rPr>
          <w:lang w:val="en-US"/>
        </w:rPr>
        <w:t xml:space="preserve">event organized by an official state or private association, organization, fund, or institution; </w:t>
      </w:r>
    </w:p>
    <w:p w:rsidR="00D72922" w:rsidRPr="00EB59C0" w:rsidRDefault="00D72922" w:rsidP="00EB59C0">
      <w:pPr>
        <w:pStyle w:val="a3"/>
        <w:jc w:val="both"/>
        <w:rPr>
          <w:lang w:val="en-US"/>
        </w:rPr>
      </w:pPr>
      <w:r w:rsidRPr="00EB59C0">
        <w:rPr>
          <w:lang w:val="en-US"/>
        </w:rPr>
        <w:t xml:space="preserve">2. </w:t>
      </w:r>
      <w:proofErr w:type="gramStart"/>
      <w:r w:rsidR="00061CE6" w:rsidRPr="00EB59C0">
        <w:rPr>
          <w:lang w:val="en-US"/>
        </w:rPr>
        <w:t>the</w:t>
      </w:r>
      <w:proofErr w:type="gramEnd"/>
      <w:r w:rsidR="00061CE6" w:rsidRPr="00EB59C0">
        <w:rPr>
          <w:lang w:val="en-US"/>
        </w:rPr>
        <w:t xml:space="preserve"> </w:t>
      </w:r>
      <w:r w:rsidR="00441D77" w:rsidRPr="00EB59C0">
        <w:rPr>
          <w:lang w:val="en-US"/>
        </w:rPr>
        <w:t xml:space="preserve">panel consists of representatives of different regions of the Russian Federation; representatives of different regions of the Russian Federation take part in the event.  </w:t>
      </w:r>
    </w:p>
    <w:p w:rsidR="0026715C" w:rsidRPr="0026715C" w:rsidRDefault="0026715C">
      <w:pPr>
        <w:pStyle w:val="a3"/>
        <w:rPr>
          <w:lang w:val="en-US"/>
        </w:rPr>
      </w:pPr>
    </w:p>
  </w:footnote>
  <w:footnote w:id="10">
    <w:p w:rsidR="00D72922" w:rsidRPr="00EB59C0" w:rsidRDefault="00D72922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rPr>
          <w:lang w:val="en-US"/>
        </w:rPr>
        <w:t xml:space="preserve"> </w:t>
      </w:r>
      <w:r w:rsidR="009C737B" w:rsidRPr="00EB59C0">
        <w:rPr>
          <w:lang w:val="en-US"/>
        </w:rPr>
        <w:t>The Grade Point Average means</w:t>
      </w:r>
      <w:r w:rsidR="00860F12" w:rsidRPr="00EB59C0">
        <w:rPr>
          <w:lang w:val="en-US"/>
        </w:rPr>
        <w:t xml:space="preserve"> a</w:t>
      </w:r>
      <w:r w:rsidR="009C737B" w:rsidRPr="00EB59C0">
        <w:rPr>
          <w:lang w:val="en-US"/>
        </w:rPr>
        <w:t xml:space="preserve"> student’s credit and rating score</w:t>
      </w:r>
      <w:r w:rsidR="00860F12" w:rsidRPr="00EB59C0">
        <w:rPr>
          <w:lang w:val="en-US"/>
        </w:rPr>
        <w:t>,</w:t>
      </w:r>
      <w:r w:rsidR="009C737B" w:rsidRPr="00EB59C0">
        <w:rPr>
          <w:lang w:val="en-US"/>
        </w:rPr>
        <w:t xml:space="preserve"> divided by the total credits obtained by </w:t>
      </w:r>
      <w:r w:rsidR="00860F12" w:rsidRPr="00EB59C0">
        <w:rPr>
          <w:lang w:val="en-US"/>
        </w:rPr>
        <w:t>him/her.</w:t>
      </w:r>
    </w:p>
  </w:footnote>
  <w:footnote w:id="11">
    <w:p w:rsidR="00D72922" w:rsidRPr="003A1AFC" w:rsidRDefault="00D72922" w:rsidP="00EB59C0">
      <w:pPr>
        <w:pStyle w:val="a3"/>
        <w:jc w:val="both"/>
        <w:rPr>
          <w:lang w:val="en-US"/>
        </w:rPr>
      </w:pPr>
      <w:r w:rsidRPr="00EB59C0">
        <w:rPr>
          <w:rStyle w:val="a5"/>
        </w:rPr>
        <w:footnoteRef/>
      </w:r>
      <w:r w:rsidRPr="00EB59C0">
        <w:rPr>
          <w:lang w:val="en-US"/>
        </w:rPr>
        <w:t xml:space="preserve"> </w:t>
      </w:r>
      <w:r w:rsidR="009C737B" w:rsidRPr="00EB59C0">
        <w:rPr>
          <w:lang w:val="en-US"/>
        </w:rPr>
        <w:t xml:space="preserve">The average score </w:t>
      </w:r>
      <w:r w:rsidR="00860F12" w:rsidRPr="00EB59C0">
        <w:rPr>
          <w:lang w:val="en-US"/>
        </w:rPr>
        <w:t>refers to the</w:t>
      </w:r>
      <w:r w:rsidR="009C737B" w:rsidRPr="00EB59C0">
        <w:rPr>
          <w:lang w:val="en-US"/>
        </w:rPr>
        <w:t xml:space="preserve"> sum of the student’s grades</w:t>
      </w:r>
      <w:r w:rsidR="00860F12" w:rsidRPr="00EB59C0">
        <w:rPr>
          <w:lang w:val="en-US"/>
        </w:rPr>
        <w:t>,</w:t>
      </w:r>
      <w:r w:rsidR="009C737B" w:rsidRPr="00EB59C0">
        <w:rPr>
          <w:lang w:val="en-US"/>
        </w:rPr>
        <w:t xml:space="preserve"> divided by the total course</w:t>
      </w:r>
      <w:r w:rsidR="005A50BD" w:rsidRPr="00EB59C0">
        <w:rPr>
          <w:lang w:val="en-US"/>
        </w:rPr>
        <w:t>s</w:t>
      </w:r>
      <w:r w:rsidR="009C737B" w:rsidRPr="00EB59C0">
        <w:rPr>
          <w:lang w:val="en-US"/>
        </w:rPr>
        <w:t xml:space="preserve"> completed by the student in the given period and included in the current rating.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DE0srQ0sDA3NrdQ0lEKTi0uzszPAykwrAUA3LdGNCwAAAA="/>
  </w:docVars>
  <w:rsids>
    <w:rsidRoot w:val="0004484D"/>
    <w:rsid w:val="00016EDD"/>
    <w:rsid w:val="00031AFB"/>
    <w:rsid w:val="0004484D"/>
    <w:rsid w:val="00061CE6"/>
    <w:rsid w:val="000B29EF"/>
    <w:rsid w:val="001047F0"/>
    <w:rsid w:val="00107FA2"/>
    <w:rsid w:val="00174E5B"/>
    <w:rsid w:val="001D4DFE"/>
    <w:rsid w:val="0026715C"/>
    <w:rsid w:val="002871AF"/>
    <w:rsid w:val="002B3FF5"/>
    <w:rsid w:val="002C1A3C"/>
    <w:rsid w:val="002C6CB6"/>
    <w:rsid w:val="002D0E82"/>
    <w:rsid w:val="002D641F"/>
    <w:rsid w:val="002E0172"/>
    <w:rsid w:val="00357AFB"/>
    <w:rsid w:val="003A1AFC"/>
    <w:rsid w:val="00441D77"/>
    <w:rsid w:val="00451217"/>
    <w:rsid w:val="004F6102"/>
    <w:rsid w:val="00555134"/>
    <w:rsid w:val="005A50BD"/>
    <w:rsid w:val="005F7A35"/>
    <w:rsid w:val="00694F21"/>
    <w:rsid w:val="006D6120"/>
    <w:rsid w:val="006E3683"/>
    <w:rsid w:val="006F03D1"/>
    <w:rsid w:val="00737DD4"/>
    <w:rsid w:val="0074577A"/>
    <w:rsid w:val="00770916"/>
    <w:rsid w:val="007A797E"/>
    <w:rsid w:val="007F7E2B"/>
    <w:rsid w:val="008315DB"/>
    <w:rsid w:val="00860F12"/>
    <w:rsid w:val="008778E6"/>
    <w:rsid w:val="008808B3"/>
    <w:rsid w:val="00966CA7"/>
    <w:rsid w:val="009942EB"/>
    <w:rsid w:val="009C737B"/>
    <w:rsid w:val="00A03B8B"/>
    <w:rsid w:val="00A043AE"/>
    <w:rsid w:val="00A531FF"/>
    <w:rsid w:val="00A64778"/>
    <w:rsid w:val="00A91A71"/>
    <w:rsid w:val="00A946B1"/>
    <w:rsid w:val="00AD6481"/>
    <w:rsid w:val="00AE662C"/>
    <w:rsid w:val="00AF21C8"/>
    <w:rsid w:val="00B5420F"/>
    <w:rsid w:val="00B9008F"/>
    <w:rsid w:val="00BB18DC"/>
    <w:rsid w:val="00C61AAE"/>
    <w:rsid w:val="00C72A5D"/>
    <w:rsid w:val="00CE3002"/>
    <w:rsid w:val="00CF73E5"/>
    <w:rsid w:val="00D01CDA"/>
    <w:rsid w:val="00D10A95"/>
    <w:rsid w:val="00D63745"/>
    <w:rsid w:val="00D72922"/>
    <w:rsid w:val="00E11E7D"/>
    <w:rsid w:val="00E13041"/>
    <w:rsid w:val="00E479A8"/>
    <w:rsid w:val="00E54FCB"/>
    <w:rsid w:val="00EB4C67"/>
    <w:rsid w:val="00EB59C0"/>
    <w:rsid w:val="00F33775"/>
    <w:rsid w:val="00FD4617"/>
    <w:rsid w:val="00FE590F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CE0D"/>
  <w15:docId w15:val="{12ED3204-8F80-48B3-AE6E-3E76701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4484D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4484D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04484D"/>
    <w:rPr>
      <w:rFonts w:cs="Times New Roman"/>
      <w:vertAlign w:val="superscript"/>
    </w:rPr>
  </w:style>
  <w:style w:type="character" w:styleId="a6">
    <w:name w:val="Hyperlink"/>
    <w:uiPriority w:val="99"/>
    <w:rsid w:val="0004484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44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448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84D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DF7B-C148-4F73-9B05-AD1B243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Варвара Андреевна</dc:creator>
  <cp:lastModifiedBy>Yuliya Dimitrenko</cp:lastModifiedBy>
  <cp:revision>3</cp:revision>
  <dcterms:created xsi:type="dcterms:W3CDTF">2021-10-05T13:54:00Z</dcterms:created>
  <dcterms:modified xsi:type="dcterms:W3CDTF">2021-10-06T10:26:00Z</dcterms:modified>
</cp:coreProperties>
</file>