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5A" w:rsidRPr="0054395A" w:rsidRDefault="0054395A" w:rsidP="00543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95A">
        <w:rPr>
          <w:rFonts w:ascii="Times New Roman" w:hAnsi="Times New Roman" w:cs="Times New Roman"/>
          <w:sz w:val="28"/>
          <w:szCs w:val="28"/>
        </w:rPr>
        <w:t>Предлагаемые темы ВКР</w:t>
      </w:r>
    </w:p>
    <w:p w:rsidR="0054395A" w:rsidRPr="0054395A" w:rsidRDefault="0054395A" w:rsidP="00543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95A">
        <w:rPr>
          <w:rFonts w:ascii="Times New Roman" w:hAnsi="Times New Roman" w:cs="Times New Roman"/>
          <w:sz w:val="28"/>
          <w:szCs w:val="28"/>
        </w:rPr>
        <w:t>Церковь, общество и государство. Правовое регулирование деятельности религиозных объединений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Проблемы церковно-государственных отношений в сфере реализации репродуктивных прав человека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 xml:space="preserve">Служение женщин в современной Православной Церкви: правовые и канонические аспекты 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Трудовой договор с работниками религиозных организаций: порядок заключения, изменения и расторжения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Соотношение правомочий светской и духовной властей в византийском праве и современные концепции церковно-государственных отношений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Церковное тюремное служение: канонические и юридические аспекты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Государственный контроль и надзор за деятельностью религиозных объединений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Особенности коммерческой деятельности Русской православной церкви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Правовое регулирование государственно-конфессиональных отношений в сфере образования</w:t>
      </w:r>
    </w:p>
    <w:p w:rsidR="004129BD" w:rsidRPr="004129BD" w:rsidRDefault="004129BD" w:rsidP="002C4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Pr="004129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29BD">
        <w:rPr>
          <w:rFonts w:ascii="Times New Roman" w:hAnsi="Times New Roman" w:cs="Times New Roman"/>
          <w:sz w:val="28"/>
          <w:szCs w:val="28"/>
        </w:rPr>
        <w:t>миссионерской деятельности в Российской Федерации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Особенности регулирования труда в религиозных организациях (на примере Русской Православной Церкви)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Канонические и правовые взгляды протоиерея Сергия (Булгакова)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Строительство объектов религиозного назначения в современной России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Нормативное регулирование деятельности религиозных объединений, центры управления и финансирования которых находятся за рубежом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Военное духовенство: основы канонического и правового статуса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Альтернативная гражданская служба в России как форма реализации права на свободу мысли, совести и религии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Тайна исповеди: юридические и канонические аспекты</w:t>
      </w:r>
    </w:p>
    <w:p w:rsidR="004129BD" w:rsidRPr="004129BD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 xml:space="preserve">Особенности финансовой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29BD">
        <w:rPr>
          <w:rFonts w:ascii="Times New Roman" w:hAnsi="Times New Roman" w:cs="Times New Roman"/>
          <w:sz w:val="28"/>
          <w:szCs w:val="28"/>
        </w:rPr>
        <w:t>налогообложения религиозных организаций</w:t>
      </w:r>
    </w:p>
    <w:p w:rsidR="004022F3" w:rsidRPr="0054395A" w:rsidRDefault="004129BD" w:rsidP="0041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9BD">
        <w:rPr>
          <w:rFonts w:ascii="Times New Roman" w:hAnsi="Times New Roman" w:cs="Times New Roman"/>
          <w:sz w:val="28"/>
          <w:szCs w:val="28"/>
        </w:rPr>
        <w:t>Правовая охрана объектов религиозного назначения и культурного наследия</w:t>
      </w:r>
    </w:p>
    <w:sectPr w:rsidR="004022F3" w:rsidRPr="0054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948"/>
    <w:multiLevelType w:val="hybridMultilevel"/>
    <w:tmpl w:val="8EF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A"/>
    <w:rsid w:val="004022F3"/>
    <w:rsid w:val="004129BD"/>
    <w:rsid w:val="0054395A"/>
    <w:rsid w:val="008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A272"/>
  <w15:chartTrackingRefBased/>
  <w15:docId w15:val="{DD748C92-E160-44D0-BFC5-EC680A0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2021-11-03T08:12:00Z</dcterms:created>
  <dcterms:modified xsi:type="dcterms:W3CDTF">2021-11-03T08:12:00Z</dcterms:modified>
</cp:coreProperties>
</file>