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7B" w:rsidRPr="00336508" w:rsidRDefault="0094067B" w:rsidP="004F7C42">
      <w:pPr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336508">
        <w:rPr>
          <w:rFonts w:ascii="Times New Roman" w:hAnsi="Times New Roman" w:cs="Times New Roman"/>
          <w:sz w:val="26"/>
          <w:szCs w:val="26"/>
        </w:rPr>
        <w:t>УТВЕРЖДЕН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94067B" w:rsidRPr="00336508" w:rsidRDefault="0094067B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Академическим советом ОП </w:t>
      </w:r>
      <w:r w:rsidR="00005323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</w:p>
    <w:p w:rsidR="0094067B" w:rsidRPr="00336508" w:rsidRDefault="002D1599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94067B" w:rsidRPr="00336508">
        <w:rPr>
          <w:rFonts w:ascii="Times New Roman" w:hAnsi="Times New Roman" w:cs="Times New Roman"/>
          <w:sz w:val="26"/>
          <w:szCs w:val="26"/>
        </w:rPr>
        <w:t>ротокол</w:t>
      </w:r>
      <w:proofErr w:type="spellEnd"/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от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г. №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4067B" w:rsidRPr="00336508">
        <w:rPr>
          <w:rFonts w:ascii="Times New Roman" w:hAnsi="Times New Roman" w:cs="Times New Roman"/>
          <w:sz w:val="26"/>
          <w:szCs w:val="26"/>
        </w:rPr>
        <w:t>/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94067B" w:rsidRPr="00336508">
        <w:rPr>
          <w:rFonts w:ascii="Times New Roman" w:hAnsi="Times New Roman" w:cs="Times New Roman"/>
          <w:sz w:val="26"/>
          <w:szCs w:val="26"/>
        </w:rPr>
        <w:t>КМБ-2023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336508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ПРАКТИКИ </w:t>
      </w: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образовательной программы </w:t>
      </w:r>
      <w:r w:rsidR="000E237E">
        <w:rPr>
          <w:rFonts w:ascii="Times New Roman" w:hAnsi="Times New Roman" w:cs="Times New Roman"/>
          <w:b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proofErr w:type="spellStart"/>
      <w:r w:rsidR="006832DE">
        <w:rPr>
          <w:rFonts w:ascii="Times New Roman" w:hAnsi="Times New Roman" w:cs="Times New Roman"/>
          <w:b/>
          <w:sz w:val="26"/>
          <w:szCs w:val="26"/>
          <w:lang w:val="ru-RU"/>
        </w:rPr>
        <w:t>Биоэкономика</w:t>
      </w:r>
      <w:proofErr w:type="spellEnd"/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336508">
        <w:rPr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 направлению подготовки 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19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.01 Био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технология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cr/>
        <w:t>для студентов 202</w:t>
      </w:r>
      <w:r w:rsidR="00F2134C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/2</w:t>
      </w:r>
      <w:r w:rsidR="00F2134C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 набора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Разработано Академическим советом и академическим руководителем для образовательной программы </w:t>
      </w:r>
      <w:r w:rsidR="0014710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832DE">
        <w:rPr>
          <w:rFonts w:ascii="Times New Roman" w:hAnsi="Times New Roman" w:cs="Times New Roman"/>
          <w:sz w:val="26"/>
          <w:szCs w:val="26"/>
        </w:rPr>
        <w:t>Биоэкономика</w:t>
      </w:r>
      <w:proofErr w:type="spellEnd"/>
      <w:r w:rsidRPr="003365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C42" w:rsidRP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студентов 202</w:t>
      </w:r>
      <w:r w:rsidR="006832D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4F7C42">
        <w:rPr>
          <w:rFonts w:ascii="Times New Roman" w:hAnsi="Times New Roman" w:cs="Times New Roman"/>
          <w:sz w:val="26"/>
          <w:szCs w:val="26"/>
        </w:rPr>
        <w:t>/2</w:t>
      </w:r>
      <w:r w:rsidR="006832D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4F7C42">
        <w:rPr>
          <w:rFonts w:ascii="Times New Roman" w:hAnsi="Times New Roman" w:cs="Times New Roman"/>
          <w:sz w:val="26"/>
          <w:szCs w:val="26"/>
        </w:rPr>
        <w:t xml:space="preserve"> года набора</w:t>
      </w:r>
    </w:p>
    <w:p w:rsidR="00787FF2" w:rsidRPr="00787FF2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787FF2" w:rsidRDefault="00787FF2" w:rsidP="00787F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:rsidR="00787FF2" w:rsidRPr="00787FF2" w:rsidRDefault="00A21128" w:rsidP="00787F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Практическая подготовка на ОП </w:t>
      </w:r>
      <w:r w:rsidR="007D2DB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="00A11D1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spellStart"/>
      <w:r w:rsidR="006832DE">
        <w:rPr>
          <w:rFonts w:ascii="Times New Roman" w:hAnsi="Times New Roman" w:cs="Times New Roman"/>
          <w:sz w:val="26"/>
          <w:szCs w:val="26"/>
          <w:lang w:val="ru-RU"/>
        </w:rPr>
        <w:t>Биоэкономика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» реализуется в форме </w:t>
      </w:r>
      <w:r w:rsidR="002D1599" w:rsidRPr="00336508">
        <w:rPr>
          <w:rFonts w:ascii="Times New Roman" w:hAnsi="Times New Roman" w:cs="Times New Roman"/>
          <w:sz w:val="26"/>
          <w:szCs w:val="26"/>
          <w:lang w:val="ru-RU"/>
        </w:rPr>
        <w:t>профессиональной и научно-исследовательской</w:t>
      </w:r>
      <w:r w:rsidR="001745AF">
        <w:rPr>
          <w:rFonts w:ascii="Times New Roman" w:hAnsi="Times New Roman" w:cs="Times New Roman"/>
          <w:sz w:val="26"/>
          <w:szCs w:val="26"/>
          <w:lang w:val="ru-RU"/>
        </w:rPr>
        <w:t xml:space="preserve"> видов практики и ставит главной целью 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, проектной, организационно-управленческой и информационно-аналитической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173DA" w:rsidRPr="00764448" w:rsidRDefault="0094067B" w:rsidP="0061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рамках практической подготовки обучающиеся выполняют </w:t>
      </w:r>
      <w:r w:rsidR="00BA7AFF" w:rsidRPr="00336508">
        <w:rPr>
          <w:rFonts w:ascii="Times New Roman" w:hAnsi="Times New Roman" w:cs="Times New Roman"/>
          <w:sz w:val="26"/>
          <w:szCs w:val="26"/>
          <w:lang w:val="ru-RU"/>
        </w:rPr>
        <w:t>работы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, связанные с будущей профессиональной деятельностью и направленные на формирование, закрепление, развитие практических навыков и научно-исследовательских, аналитических и других компетенций в области клеточной и молекулярной биологии, биотехнологии, а также приобретение новых знаний, навыков устной и письменной коммуникации в разных жанрах, поиска и обработки информации,</w:t>
      </w:r>
      <w:r w:rsidR="00A21128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и другие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87FF2" w:rsidRPr="00787FF2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числе: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 xml:space="preserve"> ПК-1, ПК-2, ПК-4, ПК-6, ПК-7, ПК-8 и ПК-10.</w:t>
      </w:r>
    </w:p>
    <w:p w:rsidR="006173DA" w:rsidRDefault="00787FF2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7FF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764448" w:rsidRDefault="006173DA" w:rsidP="006173DA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7E7703" w:rsidRPr="00336508" w:rsidRDefault="00391625" w:rsidP="00110CA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ОБЩИЕ СВЕДЕНИЯ: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2"/>
        <w:gridCol w:w="2666"/>
        <w:gridCol w:w="1942"/>
        <w:gridCol w:w="1377"/>
        <w:gridCol w:w="814"/>
        <w:gridCol w:w="983"/>
        <w:gridCol w:w="1326"/>
      </w:tblGrid>
      <w:tr w:rsidR="00A22D96" w:rsidRPr="00336508" w:rsidTr="006A5AA6">
        <w:tc>
          <w:tcPr>
            <w:tcW w:w="33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375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2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954177" w:rsidRPr="00336508" w:rsidRDefault="00954177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705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17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03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0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A5AA6" w:rsidRPr="00336508" w:rsidTr="006A5AA6">
        <w:tc>
          <w:tcPr>
            <w:tcW w:w="5000" w:type="pct"/>
            <w:gridSpan w:val="7"/>
          </w:tcPr>
          <w:p w:rsidR="006A5AA6" w:rsidRPr="00336508" w:rsidRDefault="006A5AA6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A6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Биотехнология (Исследовательская траектория)</w:t>
            </w:r>
          </w:p>
        </w:tc>
      </w:tr>
      <w:tr w:rsidR="006A5AA6" w:rsidRPr="00336508" w:rsidTr="006A5AA6">
        <w:tc>
          <w:tcPr>
            <w:tcW w:w="339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6A5AA6" w:rsidRPr="00336508" w:rsidRDefault="002659F7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2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</w:t>
            </w:r>
          </w:p>
          <w:p w:rsidR="000A7932" w:rsidRPr="00336508" w:rsidRDefault="000A7932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(исследовательская)</w:t>
            </w:r>
          </w:p>
        </w:tc>
        <w:tc>
          <w:tcPr>
            <w:tcW w:w="70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A5AA6" w:rsidRP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6A5AA6" w:rsidRP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6A5AA6" w:rsidRPr="00336508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2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(исследовательская)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Pr="00C75B40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03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5000" w:type="pct"/>
            <w:gridSpan w:val="7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Pr="006A5A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иоэкономика</w:t>
            </w:r>
            <w:proofErr w:type="spellEnd"/>
            <w:r w:rsidRPr="006A5A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(Прикладная траектория)</w:t>
            </w:r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570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Pr="00C75B40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03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342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</w:tbl>
    <w:p w:rsidR="00787FF2" w:rsidRDefault="00787FF2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7703" w:rsidRPr="00336508" w:rsidRDefault="00391625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DC33E8" w:rsidRPr="00336508" w:rsidRDefault="00DC33E8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199" w:rsidRPr="00336508" w:rsidRDefault="00922199" w:rsidP="000A79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="000A79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(исследовательская)</w:t>
      </w:r>
    </w:p>
    <w:p w:rsidR="0004332C" w:rsidRPr="0004332C" w:rsidRDefault="00922199" w:rsidP="000A7932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роизводственн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ой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практик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 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(исследовательск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ой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Целью прохождения практики является выработка у студентов умений и навыков научно-исследовательской деятельности (сбор, анализ, обобщение научного материала и т. д.) и преподавательской деятельности (подготовка учебно- методических материалов на основе результатов исследования). Результаты прохождения практики должны быть направлены на закрепление и углубление теоретической подготовки студента, выработку и формулировку оригинальных научных предложений, научных идей для подготовки магистерской диссертации.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Основной образовательный результат, получаемый студентами в ходе практики — развитие умений и навыков выбранной профессиональной деятельности. Практика призвана стимулировать навыки самостоятельной аналитической работы, а также 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развивать навыки публичной дискуссии и защиты научных идей, предложений и рекомендаций.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Прохождение практики должно содействовать овладению студентами умениями и навыками для подготовки к решению основных профессиональных задач в соответствии с видами профессиональной деятельности: научно- исследовательской; аналитической; правоприменительной; правотворческой; организационно-управленческой; преподавательской.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Для этого в ходе практики должны быть решены следующие задачи: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постановка цели и задач формирования методологической основы научного исследования;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сбор, обработка и систематизация информации по исследуемой теме;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критическая оценка и обобщение теоретических положений;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применение современных методов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оформление и презентация результатов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формирование учебно-методических материалов на основе результатов исследования, определение возможности их применения в действующем учебном процессе.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proofErr w:type="spellStart"/>
      <w:r w:rsidRPr="0004332C">
        <w:rPr>
          <w:rFonts w:ascii="Times New Roman" w:eastAsia="Times New Roman" w:hAnsi="Times New Roman" w:cs="Times New Roman"/>
          <w:sz w:val="26"/>
          <w:szCs w:val="26"/>
        </w:rPr>
        <w:t>пререквизитов</w:t>
      </w:r>
      <w:proofErr w:type="spellEnd"/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Подписание задания на практику – не позднее даты начала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E73E88" w:rsidRPr="00E73E88" w:rsidRDefault="00E73E88" w:rsidP="00E73E8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практика проводится в стационарном формате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организации), а также в профильных структурных подразделениях университета.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  <w:r w:rsidR="004F7C42" w:rsidRPr="004F7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4. Оценивание и отчетность</w:t>
      </w:r>
    </w:p>
    <w:p w:rsidR="004F7C42" w:rsidRDefault="004F7C42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</w:p>
    <w:p w:rsidR="00E73E88" w:rsidRPr="00E73E88" w:rsidRDefault="00922199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практики студенту необходимо предоставить пакет отчетных документов руководителю практики от НИУ ВШЭ.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окончании практики 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студент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представляет в учебный офис: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индивидуальное задание;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отчет о прохождении практики, подписанный студентом и его научным руководителем;</w:t>
      </w:r>
    </w:p>
    <w:p w:rsidR="00922199" w:rsidRPr="00E73E88" w:rsidRDefault="00E73E88" w:rsidP="007360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отзыв </w:t>
      </w:r>
      <w:r w:rsidR="0091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научного </w:t>
      </w: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руководителя.</w:t>
      </w:r>
    </w:p>
    <w:p w:rsidR="00916155" w:rsidRDefault="00916155" w:rsidP="00922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155">
        <w:rPr>
          <w:rFonts w:ascii="Times New Roman" w:hAnsi="Times New Roman" w:cs="Times New Roman"/>
          <w:sz w:val="26"/>
          <w:szCs w:val="26"/>
        </w:rPr>
        <w:t xml:space="preserve">Итоговая оценка за учебную практику определяется научным руководителем на основе анализа представленных студентом по результатам практики документов и указывается в отзыве научного руководителя.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практики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досрочно отстраняет его от ЭПП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922199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В случае нарушения установленных на практикуме мер техники безопасности студент отстраняется от выполнения работы и за работу ставится оценка «0».</w:t>
      </w:r>
    </w:p>
    <w:p w:rsid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55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tbl>
      <w:tblPr>
        <w:tblW w:w="97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916155" w:rsidRPr="00916155" w:rsidTr="00916155">
        <w:trPr>
          <w:trHeight w:val="476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Оценка по десятибалльной шкале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Примерное содержание оценки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10-Блестяще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9-Отлично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8-Почти отлично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7-Очень хорошо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-</w:t>
            </w: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Хорошо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5-Весьма удовлетворительно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4-Удовлетворительно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3-Плохо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2-Очень 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1-Весьма </w:t>
            </w:r>
            <w:proofErr w:type="spellStart"/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неудовл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етворительно</w:t>
            </w:r>
            <w:proofErr w:type="spellEnd"/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916155" w:rsidRP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922199" w:rsidRPr="00DC7AC5" w:rsidRDefault="00922199" w:rsidP="0092219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</w:t>
      </w:r>
      <w:r w:rsidR="00DC7AC5">
        <w:rPr>
          <w:rFonts w:ascii="Times New Roman" w:hAnsi="Times New Roman" w:cs="Times New Roman"/>
          <w:i/>
          <w:sz w:val="26"/>
          <w:szCs w:val="26"/>
        </w:rPr>
        <w:t>ях ограничительных или иных мер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922199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360F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7360FF" w:rsidRPr="007360FF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="000A79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(практика по получению профессиональных умений и опыта профессиональной деятельности)</w:t>
      </w:r>
    </w:p>
    <w:p w:rsidR="00035330" w:rsidRPr="000A7932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Цели выполнения </w:t>
      </w:r>
      <w:r w:rsidR="00B866F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оизводственной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(практик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по получению профессиональных умений и опыта профессиональной деятельности)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Целью практики по получению профессиональных умений и опыта профессиональной деятельности является: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знакомство с профессиональной средой, участие в работе научного или производственного коллектива, биотехнологической лаборатории,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дальнейшее развитие практических умений и навыков выбранной профессиональной деятельности, полученных на предыдущих этапах обучения,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также формирование и развитие профессиональных компетенций, в том числе способности самостоятельного выполнения работы, связанной с решением профессиональных задач в соответствии с направлением подготовки 19.04.01 Биотехнология.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последние годы произошли принципиальные изменения в области биотехнологий. Традиционная биотехнология, связанная с крупнотоннажным производством, все в большей степени уступает место новым биотехнологическим процессам, базирующимся на применении генно-модифицированных клеток различного происхождения, в том числе для производства продуктов питания и для производства сырья, субстанций и полупродуктов для фармацевтики. Предполагается, что магистранты во время производственной практики получат возможность познакомиться с основными биотехнологическими процессами, способами выделения и очистки продуктов, а также методами химического, биохимического и микробиологического контроля биотехнологических процессов и современными методами исследований, применяемыми в биотехнологии (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спектрофотометрия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, хроматография, 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флуориметрия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 и другие физико-химические методы).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Задачами производственной практики являются: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освоение общих биотехнологических этапов производства биологических препаратов;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-знакомство с правилами оформления производственной документации на лабораторные материалы, на проводимые исследования;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производственной или научно-исследовательской деятельностью в месте прохождения практики;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ведением на базе практики вопросов охраны природы и безопасности жизнедеятельности.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Производственная практика включает 2 этапа (на 1-м году обучения и на 2-м году обучения), на каждом из которых реализуются свои задачи.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результате прохождения практики магистрант должен: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Знать: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 теоретические аспекты, лежащие в основе биотехнологических производств;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−основные процессы, применяемые на данном этапе развития биологии и биотехнологии и их принципы, в том числе знать современные методы получения медицинских препаратов в условиях биотехнологического производства, аспекты производства антибиотиков, вакцин, инновационные пути создания лекарственных средств на основе использования данных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Уметь: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осуществлять письменную и устную коммуникацию на профессиональные темы, аргументировано представлять результаты работы;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уметь работать с различными источниками информации, осуществлять отбор источников достоверной информации, верифицировать полученную информацию и обрабатывать ее;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выбирать оборудование, необходимое для реализации биотехнологического процесса, выбирать его основные режимы, учитывать влияние биотехнологических факторов на эффективность процесса и качество конечного продукта, корректировать технологические параметры биотехнологических процессов.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Иметь навыки (приобрести опыт):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по взаимодействию и сотрудничеству в рамках профессиональной деятельности;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планирования и реализации типовых биотехнологических процессов, проведения и обработки биотехнологических экспериментов,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владения современными методами, применяемыми в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-системами качества биотехнологических продуктов и биотехнологического производства на соответствие требованиям экологической безопасности.</w:t>
      </w:r>
    </w:p>
    <w:p w:rsid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изготовления биотехнологических лекарственных препаратов, оценки качества сырья, питательных сред, полупродуктов и целевых продуктов.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0FF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пререквизитов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004BCC" w:rsidRPr="00A530CB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Подписание задания на практику – не позднее даты начала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035330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004BCC" w:rsidRDefault="00004BCC" w:rsidP="00B911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04BCC">
        <w:rPr>
          <w:rFonts w:ascii="Times New Roman" w:hAnsi="Times New Roman" w:cs="Times New Roman"/>
          <w:sz w:val="26"/>
          <w:szCs w:val="26"/>
          <w:lang w:val="ru-RU"/>
        </w:rPr>
        <w:t xml:space="preserve">Практика базируется на дисциплинах базовой и вариативной части основной образовательной программы, изучаемых ранее или одновременно с прохождением практики. Способ проведения: стационарный. Производственная практика может проходить в структурных подразделениях НИУ ВШЭ, на факультете биологии и биотехнологии, в том числе на базовой кафедре Института биоорганической химии им. академиков М.М. Шемякина и Ю.А. </w:t>
      </w:r>
      <w:proofErr w:type="spellStart"/>
      <w:r w:rsidRPr="00004BCC">
        <w:rPr>
          <w:rFonts w:ascii="Times New Roman" w:hAnsi="Times New Roman" w:cs="Times New Roman"/>
          <w:sz w:val="26"/>
          <w:szCs w:val="26"/>
          <w:lang w:val="ru-RU"/>
        </w:rPr>
        <w:t>Овчинникова</w:t>
      </w:r>
      <w:proofErr w:type="spellEnd"/>
      <w:r w:rsidRPr="00004BCC">
        <w:rPr>
          <w:rFonts w:ascii="Times New Roman" w:hAnsi="Times New Roman" w:cs="Times New Roman"/>
          <w:sz w:val="26"/>
          <w:szCs w:val="26"/>
          <w:lang w:val="ru-RU"/>
        </w:rPr>
        <w:t xml:space="preserve"> РАН, в биотехнологических лабораториях институтов РАН. Также практика может проходить по согласованию с руководителем магистранта в других профильных организациях, в том числе в производственных лабораториях.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</w:t>
      </w:r>
      <w:r w:rsidR="00004BCC">
        <w:rPr>
          <w:rFonts w:ascii="Times New Roman" w:hAnsi="Times New Roman" w:cs="Times New Roman"/>
          <w:sz w:val="26"/>
          <w:szCs w:val="26"/>
          <w:lang w:val="ru-RU"/>
        </w:rPr>
        <w:t>производственной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 студенты должны принимать участие во всех работах согласно рабочему графику (плану) проведения практики.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По итогам практики студент предоставляет Отчет по практике. В отчете студент должен отразить все процессы, с какими ознакомился во время прохождения практики, производственные проблемы, представить варианты их решения или оптимизации, с учетом ранее оговоренных задач в индивидуальном задании на практику. Отчет может быть подан как на бумажном носителе, так и в электронном виде. Отчет по практике – документ студента, отражающий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производственной практики. А именно: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прохождения производственной практики (в любой форме по тематике практики – база данных/обзоры/предложенные технологические решения и проч.), в том числе вклад результатов практики в выпускную квалификационную работу;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приведены профессиональные компетенции, которые отрабатывались и применялись во время практики, вместе с примерами и результатами деятельности.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Письменный отчет студент готовит по завершении практики. Промежуточная аттестация по практике проводится в виде экзамена – презентации отчета по практике. Итоговая оценка выставляется руководителем практики от НИУ ВШЭ с учетом письменного отчета и результатов его презентации, а также с учетом отзыва организации, в которой студент проходил практику.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Отзыв организации о проделанной студентом работе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Студенты,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Примерные тематики, изучаемые при прохождении производственной практики: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1. Культивирование продуцентов белка.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2. Микробные синтезы аминокислот.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3. Микробные синтезы витаминов (различные варианты, например, Биосинтез витамина В2 (рибофлавина)).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4. Культивирование микроорганизмов – продуцентов ферментов поверхностным способом (на различных питательных средах).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5. Культивирование микроорганизмов – продуцентов ферментов глубинным способом 6. Культивирование микроскопического гриба с целью получения лимонной кислоты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7. Микробный синтез полисахаридов (различные варианты полисахаридов).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5148"/>
      </w:tblGrid>
      <w:tr w:rsidR="00C9483E" w:rsidRPr="00C9483E" w:rsidTr="00C9483E">
        <w:trPr>
          <w:trHeight w:val="519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Оценка по десятибалльной шкале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Примерное содержание оценки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10- Блестяще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9- Отлично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8- Почти отлично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7- Очень хорошо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6- Хорошо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5- Весьма удовлетворительно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4- Удовлетворительно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3-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2- Очень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1-  Весьма неудовл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0D3CAE" w:rsidRDefault="00035330" w:rsidP="00C9483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0D3CAE">
        <w:rPr>
          <w:rFonts w:ascii="Times New Roman" w:hAnsi="Times New Roman" w:cs="Times New Roman"/>
          <w:i/>
          <w:sz w:val="26"/>
          <w:szCs w:val="26"/>
        </w:rPr>
        <w:t xml:space="preserve">5. Ресурсы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Подготовка </w:t>
      </w:r>
      <w:r w:rsidR="00C75B40">
        <w:rPr>
          <w:rFonts w:ascii="Times New Roman" w:hAnsi="Times New Roman" w:cs="Times New Roman"/>
          <w:b/>
          <w:sz w:val="26"/>
          <w:szCs w:val="26"/>
          <w:lang w:val="ru-RU"/>
        </w:rPr>
        <w:t>выпускной квалификационной работы (ВКР)</w:t>
      </w:r>
    </w:p>
    <w:p w:rsidR="00C75B4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="00C75B40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 xml:space="preserve">ЭПП «Подготовка </w:t>
      </w:r>
      <w:r w:rsidR="00C75B4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ВКР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Целью и задачами ЭПП «Подготовка Выпускной квалификационной работы» являются установление уровня развития и освоения выпускником профессиональных компетенций по направлению подготовки 19.04.01 Биотехнология и качества его подготовки к профессиональной деятельности научно-исследовательского или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производственного 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типа.</w:t>
      </w:r>
    </w:p>
    <w:p w:rsidR="007A4490" w:rsidRPr="007A4490" w:rsidRDefault="007A4490" w:rsidP="007A44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: успешное выполнение дисциплин 1-2 курса.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(далее – ИА) разработана в соответствии с: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Образовательным стандартом (уровень высшего образования - магистратура) НИУ ВШЭ, утвержденным ученым советом НИУ ВШЭ 27.11.2020;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Образовательной программой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Базовым учебным планом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-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экономики», утверждённым учёным советом НИУ ВШЭ (протокол от 18.12.2020 № 18) и введённым в действие приказом № 6.18.1-01/2601-05 от 26.01.2021 (далее – Положение о ГИА).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предназначена для студентов, обучающихся по направлению подготовки 19.04.01 Биотехнология в НИУ ВШЭ. К ИА допускается студент, в полном объеме выполнивший учебный план или индивидуальный учебный план по образовательной программе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19.04.01 Биотехнология и не имеющий академической задолженности по всем элементам образовательной программы. ИА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состоит из одного вида государственных аттестационных испытаний: защиты выпускных квалификационных работ (далее – ВКР).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соответствии с учебным планом итоговая аттестация проводится в конце второго года обучения. При условии успешного прохождения установленного вида итоговых аттестационных испытаний, входящих в итоговую аттестацию, выпускнику программы присваивается соответствующая квалификация.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Выполнение ВКР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выбранной теме, а также развивает компетенции аналитической, исследовательской и проектной деятельности, работы с информацией.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результате освоения образовательной программы у выпускника магистратуры должны быть сформированы: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1) общекультурные компетенции магистра, не зависящие от конкретного направления подготовки;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2) общепрофессиональные компетенции, определяемые направлением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3) профессиональные компетенции, определяемые направленностью (профилем)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ОПК-1, ОПК-2, ОПК-3, ОПК-4, ОПК-6, ОПК-7, ОПК-8, ПК-1, ПК-2, ПК-3, ПК-4, ПК-5, ПК-6, ПК-7, УК-1, УК-2, УК-3, УК-4, УК-5, УК-6.</w:t>
      </w: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66"/>
        <w:gridCol w:w="2693"/>
        <w:gridCol w:w="2836"/>
        <w:gridCol w:w="3374"/>
      </w:tblGrid>
      <w:tr w:rsidR="00BD699A" w:rsidRPr="00BD699A" w:rsidTr="00BC74F3">
        <w:tc>
          <w:tcPr>
            <w:tcW w:w="1041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этапа подготовки ВКР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выбора темы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сентября до 10 октября текущего учебного года.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Выбор тем курсовых работ и ВКР студентами / Инициативное предложение тем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10 октября до 01 ноября 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10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Вторая волна выбора тем курсовых работ и ВКР,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20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курсовых работ и ВКР у студентов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20 ноября до 15 декабря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курсовых работ и ВКР в 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proofErr w:type="spellEnd"/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ВКР, оценивание руководителем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в соответствии с графиком подготовки ВКР,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одного календарного месяца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текста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Загрузка ВКР в систему «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 отзыва на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календарной недели  после получения итогового варианта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/ декан факультета/ академический руководитель ОП /рецензент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Приказ подписывается деканом факультета не позднее, чем за месяц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координирует получение итоговых текстов ВКР всеми рецензентами в срок не позднее, чем через три календарных дня после загрузки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Получение рецензий и их загрузка в электронный модуль для просмотра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рецензент/ учебный офис ОП / студенты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contextualSpacing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6 календарных дней до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Передача ВКР в ГЭК вместе с отзывами Руководителя и рецензента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учебный офис ОП / ГЭК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ind w:firstLine="26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2 календарных дня до защиты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Защита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бакалавриата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специалитета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магистратуры НИУ ВШЭ, но не позднее 30 июня текущего учебного года</w:t>
            </w:r>
          </w:p>
        </w:tc>
      </w:tr>
    </w:tbl>
    <w:p w:rsidR="00035330" w:rsidRPr="00BD699A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300618" w:rsidRDefault="00D21FB2" w:rsidP="0030061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1FB2">
        <w:rPr>
          <w:rFonts w:ascii="Times New Roman" w:hAnsi="Times New Roman" w:cs="Times New Roman"/>
          <w:sz w:val="26"/>
          <w:szCs w:val="26"/>
          <w:lang w:val="ru-RU"/>
        </w:rPr>
        <w:t>ВКР выполняется в формате самостоятельной работы исследовательского или прикладного характера, который предполагает анализ и обобщение теоретического и эмпирического материала, призванных способствовать закреплению и проявлению знаний и умений, полученных в процессе освоения образовательной программы, а также для получения новых знаний о структуре, свойствах и закономерностях изучаемого объекта (явления, процесса).</w:t>
      </w:r>
      <w:r w:rsidR="00300618" w:rsidRPr="00300618">
        <w:t xml:space="preserve"> </w:t>
      </w:r>
      <w:r w:rsidR="00300618"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выполняется и защищается на русском языке. По решению Академического совета ОП, ВКР может быть выполнена и защищена на иностранном языке. </w:t>
      </w:r>
    </w:p>
    <w:p w:rsidR="00300618" w:rsidRDefault="00300618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представляет собой самостоятельное законченное исследование на заданную или выбранную тему,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ВКР может основываться на обобщении выполненных выпускником в процессе обучения исследований и содержать материалы, собранные выпускником в период </w:t>
      </w:r>
      <w:r>
        <w:rPr>
          <w:rFonts w:ascii="Times New Roman" w:hAnsi="Times New Roman" w:cs="Times New Roman"/>
          <w:sz w:val="26"/>
          <w:szCs w:val="26"/>
          <w:lang w:val="ru-RU"/>
        </w:rPr>
        <w:t>профессиональной и/или проектной</w:t>
      </w: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практики.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</w:t>
      </w:r>
    </w:p>
    <w:p w:rsidR="00035330" w:rsidRPr="00336508" w:rsidRDefault="00035330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CF4EE7" w:rsidRDefault="00CF4EE7" w:rsidP="00CF4E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>Итоговый текст ВКР, подготовленный в срок и оформленный в соответствии с Методически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», представляется студентом путем загрузки работы в электронном </w:t>
      </w:r>
      <w:proofErr w:type="spellStart"/>
      <w:r w:rsidRPr="00300618">
        <w:rPr>
          <w:rFonts w:ascii="Times New Roman" w:eastAsia="Times New Roman" w:hAnsi="Times New Roman" w:cs="Times New Roman"/>
          <w:sz w:val="26"/>
          <w:szCs w:val="26"/>
        </w:rPr>
        <w:t>несканированном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виде в специальный модуль ЭИОС НИУ ВШЭ (LMS). </w:t>
      </w:r>
    </w:p>
    <w:p w:rsidR="00300618" w:rsidRDefault="00300618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  <w:lang w:val="ru-RU"/>
        </w:rPr>
        <w:t>Биоэкономика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. Сроки выполнения ВКР регламентируются Графиком выполнения и защиты ВКР.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300618" w:rsidRDefault="00300618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подлежат публичной защите в 4 модуле по графику, утверждаемому приказом для каждого конкретного года набора.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  </w:t>
      </w:r>
    </w:p>
    <w:p w:rsidR="00CF4EE7" w:rsidRDefault="00300618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:rsidR="007C3E60" w:rsidRDefault="00300618" w:rsidP="007C3E6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обсуждения члены комиссии по защите ВКР заполняют протокол установленного образца. </w:t>
      </w:r>
      <w:r w:rsidR="007C3E60" w:rsidRPr="007C3E60">
        <w:rPr>
          <w:rFonts w:ascii="Times New Roman" w:hAnsi="Times New Roman" w:cs="Times New Roman"/>
          <w:sz w:val="26"/>
          <w:szCs w:val="26"/>
          <w:lang w:val="ru-RU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:rsidR="00CF4EE7" w:rsidRDefault="006C4A91" w:rsidP="007C3E6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4A91">
        <w:rPr>
          <w:rFonts w:ascii="Times New Roman" w:hAnsi="Times New Roman" w:cs="Times New Roman"/>
          <w:sz w:val="26"/>
          <w:szCs w:val="26"/>
          <w:lang w:val="ru-RU"/>
        </w:rPr>
        <w:t>Результат защиты ВКР студента оценивается по десятибалльной, а затем пятибалльной системам оценки знаний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5330" w:rsidRPr="00336508" w:rsidRDefault="00035330" w:rsidP="00CF4EE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D21FB2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Default="00CF4EE7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4EE7">
        <w:rPr>
          <w:rFonts w:ascii="Times New Roman" w:hAnsi="Times New Roman" w:cs="Times New Roman"/>
          <w:sz w:val="26"/>
          <w:szCs w:val="26"/>
          <w:lang w:val="ru-RU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>
        <w:rPr>
          <w:rFonts w:ascii="Times New Roman" w:hAnsi="Times New Roman" w:cs="Times New Roman"/>
          <w:sz w:val="26"/>
          <w:szCs w:val="26"/>
          <w:lang w:val="ru-RU"/>
        </w:rPr>
        <w:t>Клеточная и молекулярная биология</w:t>
      </w:r>
      <w:r w:rsidRPr="00CF4EE7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F4EE7" w:rsidRPr="00336508" w:rsidRDefault="00CF4EE7" w:rsidP="00CF4E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6D43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C42" w:rsidRPr="004F7C42" w:rsidRDefault="00406D43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  <w:r w:rsidR="004F7C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F7C42" w:rsidRPr="004F7C42">
        <w:rPr>
          <w:rFonts w:ascii="Times New Roman" w:hAnsi="Times New Roman" w:cs="Times New Roman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аудиоформат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–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p w:rsidR="00A37C0E" w:rsidRDefault="00A37C0E" w:rsidP="00110CA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203144" w:rsidRPr="00203144" w:rsidRDefault="00203144" w:rsidP="00203144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3144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proofErr w:type="spellStart"/>
      <w:r w:rsidR="006832DE">
        <w:rPr>
          <w:rFonts w:ascii="Times New Roman" w:hAnsi="Times New Roman" w:cs="Times New Roman"/>
          <w:sz w:val="26"/>
          <w:szCs w:val="26"/>
        </w:rPr>
        <w:t>Биоэкономика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03144" w:rsidRPr="004B33D8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4B33D8">
        <w:rPr>
          <w:rFonts w:ascii="Times New Roman" w:hAnsi="Times New Roman" w:cs="Times New Roman"/>
          <w:sz w:val="26"/>
          <w:szCs w:val="26"/>
        </w:rPr>
        <w:t>Производственная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4B33D8">
        <w:t xml:space="preserve"> </w:t>
      </w:r>
      <w:r w:rsidRPr="004B33D8">
        <w:rPr>
          <w:rFonts w:ascii="Times New Roman" w:hAnsi="Times New Roman" w:cs="Times New Roman"/>
          <w:sz w:val="26"/>
          <w:szCs w:val="26"/>
          <w:lang w:val="ru-RU"/>
        </w:rPr>
        <w:t xml:space="preserve">Научно-исследовательская </w:t>
      </w:r>
      <w:r w:rsidR="00203144"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203144" w:rsidRPr="00F14B8F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03144" w:rsidSect="00110CA5">
      <w:footerReference w:type="default" r:id="rId8"/>
      <w:footerReference w:type="first" r:id="rId9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56" w:rsidRDefault="00951556" w:rsidP="00406D43">
      <w:pPr>
        <w:spacing w:line="240" w:lineRule="auto"/>
      </w:pPr>
      <w:r>
        <w:separator/>
      </w:r>
    </w:p>
  </w:endnote>
  <w:endnote w:type="continuationSeparator" w:id="0">
    <w:p w:rsidR="00951556" w:rsidRDefault="00951556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336508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841003" w:rsidRPr="00841003">
          <w:rPr>
            <w:rFonts w:ascii="Times New Roman" w:hAnsi="Times New Roman" w:cs="Times New Roman"/>
            <w:noProof/>
            <w:lang w:val="ru-RU"/>
          </w:rPr>
          <w:t>20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3365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336508">
    <w:pPr>
      <w:pStyle w:val="ad"/>
      <w:jc w:val="right"/>
    </w:pPr>
  </w:p>
  <w:p w:rsidR="00336508" w:rsidRDefault="00336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56" w:rsidRDefault="00951556" w:rsidP="00406D43">
      <w:pPr>
        <w:spacing w:line="240" w:lineRule="auto"/>
      </w:pPr>
      <w:r>
        <w:separator/>
      </w:r>
    </w:p>
  </w:footnote>
  <w:footnote w:type="continuationSeparator" w:id="0">
    <w:p w:rsidR="00951556" w:rsidRDefault="00951556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08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1D3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B04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030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6" w15:restartNumberingAfterBreak="0">
    <w:nsid w:val="285618B3"/>
    <w:multiLevelType w:val="hybridMultilevel"/>
    <w:tmpl w:val="C98CB134"/>
    <w:lvl w:ilvl="0" w:tplc="FA74E1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4BCC"/>
    <w:rsid w:val="00005323"/>
    <w:rsid w:val="00013CB3"/>
    <w:rsid w:val="000216FA"/>
    <w:rsid w:val="00035330"/>
    <w:rsid w:val="00041FFD"/>
    <w:rsid w:val="0004332C"/>
    <w:rsid w:val="0007445F"/>
    <w:rsid w:val="000A7932"/>
    <w:rsid w:val="000B0CBB"/>
    <w:rsid w:val="000C0956"/>
    <w:rsid w:val="000D1678"/>
    <w:rsid w:val="000D3CAE"/>
    <w:rsid w:val="000E237E"/>
    <w:rsid w:val="000E4E29"/>
    <w:rsid w:val="00110CA5"/>
    <w:rsid w:val="00126828"/>
    <w:rsid w:val="00147104"/>
    <w:rsid w:val="00153A58"/>
    <w:rsid w:val="001574FE"/>
    <w:rsid w:val="001745AF"/>
    <w:rsid w:val="00203144"/>
    <w:rsid w:val="00205DC3"/>
    <w:rsid w:val="00253576"/>
    <w:rsid w:val="002659F7"/>
    <w:rsid w:val="002719E5"/>
    <w:rsid w:val="002D1599"/>
    <w:rsid w:val="002E2CCE"/>
    <w:rsid w:val="00300618"/>
    <w:rsid w:val="00336508"/>
    <w:rsid w:val="00391625"/>
    <w:rsid w:val="003B6F31"/>
    <w:rsid w:val="003D3477"/>
    <w:rsid w:val="003F2C97"/>
    <w:rsid w:val="00402CEF"/>
    <w:rsid w:val="00406D43"/>
    <w:rsid w:val="00440DBC"/>
    <w:rsid w:val="0046464A"/>
    <w:rsid w:val="004B33D8"/>
    <w:rsid w:val="004D1ADE"/>
    <w:rsid w:val="004E0B9D"/>
    <w:rsid w:val="004F7C42"/>
    <w:rsid w:val="00512CC7"/>
    <w:rsid w:val="00557FC5"/>
    <w:rsid w:val="006173DA"/>
    <w:rsid w:val="00626976"/>
    <w:rsid w:val="0063160E"/>
    <w:rsid w:val="006418A7"/>
    <w:rsid w:val="00642513"/>
    <w:rsid w:val="006832DE"/>
    <w:rsid w:val="00697A2E"/>
    <w:rsid w:val="006A5AA6"/>
    <w:rsid w:val="006C4A91"/>
    <w:rsid w:val="006F0ED6"/>
    <w:rsid w:val="007360FF"/>
    <w:rsid w:val="00763CB8"/>
    <w:rsid w:val="00764448"/>
    <w:rsid w:val="00787FF2"/>
    <w:rsid w:val="007A4490"/>
    <w:rsid w:val="007C3E60"/>
    <w:rsid w:val="007C4A6A"/>
    <w:rsid w:val="007D2DB4"/>
    <w:rsid w:val="007E7703"/>
    <w:rsid w:val="007F2F7D"/>
    <w:rsid w:val="0081230B"/>
    <w:rsid w:val="008274BD"/>
    <w:rsid w:val="00831BB0"/>
    <w:rsid w:val="0083513C"/>
    <w:rsid w:val="00841003"/>
    <w:rsid w:val="008C33DF"/>
    <w:rsid w:val="00916155"/>
    <w:rsid w:val="00922199"/>
    <w:rsid w:val="0094067B"/>
    <w:rsid w:val="00951556"/>
    <w:rsid w:val="00954177"/>
    <w:rsid w:val="00986062"/>
    <w:rsid w:val="00990FF7"/>
    <w:rsid w:val="00A11D10"/>
    <w:rsid w:val="00A21128"/>
    <w:rsid w:val="00A22D96"/>
    <w:rsid w:val="00A37C0E"/>
    <w:rsid w:val="00A4365C"/>
    <w:rsid w:val="00A530CB"/>
    <w:rsid w:val="00A61C67"/>
    <w:rsid w:val="00B1794B"/>
    <w:rsid w:val="00B51573"/>
    <w:rsid w:val="00B8039F"/>
    <w:rsid w:val="00B866FE"/>
    <w:rsid w:val="00B91176"/>
    <w:rsid w:val="00BA7AFF"/>
    <w:rsid w:val="00BC74F3"/>
    <w:rsid w:val="00BD699A"/>
    <w:rsid w:val="00BF7C67"/>
    <w:rsid w:val="00C049D4"/>
    <w:rsid w:val="00C75B40"/>
    <w:rsid w:val="00C9483E"/>
    <w:rsid w:val="00CF4EE7"/>
    <w:rsid w:val="00D0731D"/>
    <w:rsid w:val="00D21FB2"/>
    <w:rsid w:val="00D36070"/>
    <w:rsid w:val="00D60804"/>
    <w:rsid w:val="00DC33E8"/>
    <w:rsid w:val="00DC48BE"/>
    <w:rsid w:val="00DC7AC5"/>
    <w:rsid w:val="00DD1CF6"/>
    <w:rsid w:val="00DE1251"/>
    <w:rsid w:val="00DE57D5"/>
    <w:rsid w:val="00E508EB"/>
    <w:rsid w:val="00E579B8"/>
    <w:rsid w:val="00E73E88"/>
    <w:rsid w:val="00E857BD"/>
    <w:rsid w:val="00F2134C"/>
    <w:rsid w:val="00FC0986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FF06-122B-DE44-B5E0-3B35F2A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C4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C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uiPriority w:val="22"/>
    <w:qFormat/>
    <w:rsid w:val="00BD699A"/>
    <w:rPr>
      <w:b/>
      <w:bCs/>
    </w:rPr>
  </w:style>
  <w:style w:type="table" w:customStyle="1" w:styleId="TableGrid">
    <w:name w:val="TableGrid"/>
    <w:rsid w:val="002031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"/>
    <w:rsid w:val="009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E7BF-601B-4044-81F7-1249706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5785</Words>
  <Characters>32979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2</cp:revision>
  <cp:lastPrinted>2023-08-31T06:19:00Z</cp:lastPrinted>
  <dcterms:created xsi:type="dcterms:W3CDTF">2024-05-13T14:12:00Z</dcterms:created>
  <dcterms:modified xsi:type="dcterms:W3CDTF">2024-05-13T14:12:00Z</dcterms:modified>
</cp:coreProperties>
</file>