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DF" w:rsidRPr="00BB65D7" w:rsidRDefault="006F45DF" w:rsidP="006F45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B6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4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практики</w:t>
      </w:r>
    </w:p>
    <w:p w:rsidR="006F45DF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DF" w:rsidRPr="00BB65D7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ЭПП от 3 кредитов и выше предполагают обязательное оценивание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баллах с проставлением оценки.</w:t>
      </w:r>
    </w:p>
    <w:p w:rsidR="006F45DF" w:rsidRPr="00BB65D7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результатов прохождения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 практики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двум шкалам:</w:t>
      </w:r>
    </w:p>
    <w:p w:rsidR="006F45DF" w:rsidRPr="00BB65D7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оценки по 10-балльной шкале, отражающей качество выполненной работы по ЭПП;</w:t>
      </w:r>
    </w:p>
    <w:p w:rsidR="006F45DF" w:rsidRPr="00BB65D7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 количества кредитов, отражающих объем выполненной работы по ЭПП.</w:t>
      </w:r>
    </w:p>
    <w:p w:rsidR="006F45DF" w:rsidRPr="00BB65D7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Снижение числа кредитов</w:t>
      </w:r>
      <w:r w:rsidRPr="004219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зачтенных студенту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преддипломную практику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произойти, если объем работ по ЭПП выполнен не полностью:</w:t>
      </w:r>
    </w:p>
    <w:p w:rsidR="006F45DF" w:rsidRPr="00BB65D7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уважительным причинам: студент не смог выполнить все взятые на себя обязательства (например, по болезни); в этом случае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 практики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оценить его работу и зачесть определенное число кредитов по фактическому вкладу;</w:t>
      </w:r>
    </w:p>
    <w:p w:rsidR="006F45DF" w:rsidRPr="00BB65D7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неуважительным причинам: студент не справляется с поставленными перед ним задачами и/или халатно относится к их выполнению, и поэтому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 практики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досрочно отс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траняет его от ЭПП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45DF" w:rsidRPr="00BB65D7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снижении числа кредитов, полученных студентом за ЭПП, принимает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преддипломной практики</w:t>
      </w:r>
      <w:r w:rsidRPr="00BB6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F45DF" w:rsidRPr="002761A6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установленных на практикуме мер техники безопасности студент отстраняется от выполнения работы и за работу ставится оценка «0». </w:t>
      </w:r>
    </w:p>
    <w:p w:rsidR="006F45DF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по 10-бальной шкале</w:t>
      </w:r>
      <w:r w:rsidRPr="006B4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итогового отчета по производственной практике, выступления (презентации) по </w:t>
      </w:r>
      <w:r w:rsidR="00201EC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итогового отчета и оценки руководителя практики от организации, где она выполнялась.</w:t>
      </w:r>
    </w:p>
    <w:p w:rsidR="00123B27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60956534"/>
      <w:r w:rsidRPr="00276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за </w:t>
      </w:r>
      <w:r w:rsidR="0031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промежуточный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 </w:t>
      </w:r>
      <w:r w:rsidRPr="0044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</w:t>
      </w:r>
      <w:r w:rsidRPr="00443D56"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п</w:t>
      </w:r>
      <w:r w:rsidRPr="00443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AE5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23B27"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проставляется в </w:t>
      </w:r>
      <w:r w:rsid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3B27"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>тзыв</w:t>
      </w:r>
      <w:r w:rsid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23B27"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 проделанной студентом работе</w:t>
      </w:r>
      <w:r w:rsid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3B27"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пишется в свободной форме, но предполагает описание выполняемых студентом профессиональных задач</w:t>
      </w:r>
      <w:r w:rsid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руководителя практики учитывает</w:t>
      </w:r>
      <w:r w:rsidR="00123B27"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</w:t>
      </w:r>
      <w:r w:rsid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23B27"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</w:t>
      </w:r>
      <w:r w:rsid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3B27"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программы практики, отношение студента к выполнению заданий, полученных в период практики, выводы о профессиональной пригодности студента, при необходимости – комментарии о проявленных им личных и профессиональных качествах и проч. Отзыв подписывается руководителем практики от предприятия (организации) и заверяется печатью, либо выполняется на официальном бланке организации (допускается без печати).</w:t>
      </w:r>
      <w:r w:rsid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3B27" w:rsidRDefault="00123B27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B27" w:rsidRPr="007A09A1" w:rsidRDefault="00123B27" w:rsidP="00123B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Критерии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</w:t>
      </w:r>
      <w:r w:rsidRPr="007A09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3B27" w:rsidRPr="00316572" w:rsidRDefault="00123B27" w:rsidP="00123B2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>О1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полноты и качества выполнения программы практики </w:t>
      </w: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(0-10 баллов) </w:t>
      </w:r>
    </w:p>
    <w:p w:rsidR="00123B27" w:rsidRPr="00316572" w:rsidRDefault="00123B27" w:rsidP="00123B2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>О2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студента к выполнению заданий, полученных в период практики </w:t>
      </w: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(0-10 баллов) </w:t>
      </w:r>
    </w:p>
    <w:p w:rsidR="00123B27" w:rsidRPr="00316572" w:rsidRDefault="00123B27" w:rsidP="00123B2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3р</w:t>
      </w: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2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Профессиональная пригодность студента </w:t>
      </w:r>
      <w:r w:rsidRPr="00316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(0-10 баллов) </w:t>
      </w:r>
    </w:p>
    <w:p w:rsidR="00123B27" w:rsidRDefault="00123B27" w:rsidP="00123B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показатель оценивается по 10-балльной шкале.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за промежуточный результат формируется по формуле:</w:t>
      </w:r>
    </w:p>
    <w:p w:rsidR="00123B27" w:rsidRDefault="00123B27" w:rsidP="00123B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3B27" w:rsidRPr="00316572" w:rsidRDefault="00123B27" w:rsidP="00123B27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</w:t>
      </w:r>
      <w:r w:rsidRPr="0031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= (О1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31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+О2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31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+О3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316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)/3</w:t>
      </w:r>
    </w:p>
    <w:p w:rsidR="00123B27" w:rsidRPr="007A09A1" w:rsidRDefault="00123B27" w:rsidP="00123B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27" w:rsidRDefault="00123B27" w:rsidP="00123B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округляется арифметически.</w:t>
      </w:r>
    </w:p>
    <w:p w:rsidR="00123B27" w:rsidRDefault="00123B27" w:rsidP="00123B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B27" w:rsidRPr="007A09A1" w:rsidRDefault="00123B27" w:rsidP="00123B2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оценки:</w:t>
      </w:r>
    </w:p>
    <w:tbl>
      <w:tblPr>
        <w:tblStyle w:val="TableGrid"/>
        <w:tblW w:w="9360" w:type="dxa"/>
        <w:tblInd w:w="9" w:type="dxa"/>
        <w:tblCellMar>
          <w:top w:w="63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3977"/>
        <w:gridCol w:w="5383"/>
      </w:tblGrid>
      <w:tr w:rsidR="00123B27" w:rsidRPr="00037E4E" w:rsidTr="00A4581F">
        <w:trPr>
          <w:trHeight w:val="580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Pr="00037E4E" w:rsidRDefault="00123B27" w:rsidP="00A4581F">
            <w:pPr>
              <w:spacing w:line="276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  <w:proofErr w:type="spellEnd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proofErr w:type="spellEnd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>десятибалльной</w:t>
            </w:r>
            <w:proofErr w:type="spellEnd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>шкале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Pr="00037E4E" w:rsidRDefault="00123B27" w:rsidP="00A4581F">
            <w:pPr>
              <w:spacing w:line="276" w:lineRule="auto"/>
              <w:ind w:right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proofErr w:type="spellEnd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  <w:proofErr w:type="spellEnd"/>
          </w:p>
        </w:tc>
      </w:tr>
      <w:tr w:rsidR="00123B27" w:rsidRPr="00037E4E" w:rsidTr="00A4581F">
        <w:trPr>
          <w:trHeight w:val="1380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Pr="00037E4E" w:rsidRDefault="00123B27" w:rsidP="000738D4">
            <w:pPr>
              <w:numPr>
                <w:ilvl w:val="0"/>
                <w:numId w:val="5"/>
              </w:numPr>
              <w:spacing w:line="276" w:lineRule="auto"/>
              <w:ind w:left="7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весьма</w:t>
            </w:r>
            <w:proofErr w:type="spellEnd"/>
          </w:p>
          <w:p w:rsidR="00123B27" w:rsidRPr="00037E4E" w:rsidRDefault="00123B27" w:rsidP="00A4581F">
            <w:pPr>
              <w:spacing w:line="276" w:lineRule="auto"/>
              <w:ind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неудовлетворительно</w:t>
            </w:r>
            <w:proofErr w:type="spellEnd"/>
          </w:p>
          <w:p w:rsidR="00123B27" w:rsidRPr="00037E4E" w:rsidRDefault="00123B27" w:rsidP="000738D4">
            <w:pPr>
              <w:numPr>
                <w:ilvl w:val="0"/>
                <w:numId w:val="5"/>
              </w:numPr>
              <w:spacing w:line="276" w:lineRule="auto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proofErr w:type="spellEnd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proofErr w:type="spellEnd"/>
          </w:p>
          <w:p w:rsidR="00123B27" w:rsidRPr="00037E4E" w:rsidRDefault="00123B27" w:rsidP="000738D4">
            <w:pPr>
              <w:numPr>
                <w:ilvl w:val="0"/>
                <w:numId w:val="5"/>
              </w:numPr>
              <w:spacing w:line="276" w:lineRule="auto"/>
              <w:ind w:left="0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плохо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Default="000738D4" w:rsidP="00A4581F">
            <w:pPr>
              <w:spacing w:line="276" w:lineRule="auto"/>
              <w:ind w:righ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123B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 выполняет требования соответствующего критерия, имеются значительные недостатки </w:t>
            </w:r>
          </w:p>
          <w:p w:rsidR="00123B27" w:rsidRPr="00B22ECD" w:rsidRDefault="00123B27" w:rsidP="00A4581F">
            <w:pPr>
              <w:spacing w:line="276" w:lineRule="auto"/>
              <w:ind w:righ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23B27" w:rsidRPr="00037E4E" w:rsidTr="000738D4">
        <w:trPr>
          <w:trHeight w:val="1222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Pr="00037E4E" w:rsidRDefault="00123B27" w:rsidP="000738D4">
            <w:pPr>
              <w:numPr>
                <w:ilvl w:val="0"/>
                <w:numId w:val="5"/>
              </w:numPr>
              <w:spacing w:line="276" w:lineRule="auto"/>
              <w:ind w:left="7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  <w:proofErr w:type="spellEnd"/>
          </w:p>
          <w:p w:rsidR="00123B27" w:rsidRPr="00037E4E" w:rsidRDefault="00123B27" w:rsidP="000738D4">
            <w:pPr>
              <w:numPr>
                <w:ilvl w:val="0"/>
                <w:numId w:val="5"/>
              </w:numPr>
              <w:spacing w:line="276" w:lineRule="auto"/>
              <w:ind w:left="7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весьма</w:t>
            </w:r>
            <w:proofErr w:type="spellEnd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Pr="00B22ECD" w:rsidRDefault="000738D4" w:rsidP="00A4581F">
            <w:pPr>
              <w:spacing w:line="276" w:lineRule="auto"/>
              <w:ind w:righ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123B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полностью выполняет требования соответствующего критерия</w:t>
            </w:r>
            <w:r w:rsidR="00123B27" w:rsidRPr="00A33D1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123B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имеются недостатки </w:t>
            </w:r>
          </w:p>
        </w:tc>
      </w:tr>
      <w:tr w:rsidR="00123B27" w:rsidRPr="00037E4E" w:rsidTr="000738D4">
        <w:trPr>
          <w:trHeight w:val="1217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Pr="00A33D16" w:rsidRDefault="00123B27" w:rsidP="000738D4">
            <w:pPr>
              <w:numPr>
                <w:ilvl w:val="0"/>
                <w:numId w:val="5"/>
              </w:numPr>
              <w:spacing w:line="276" w:lineRule="auto"/>
              <w:ind w:left="7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D1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spellEnd"/>
            <w:r w:rsidRPr="00A33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3B27" w:rsidRPr="00A33D16" w:rsidRDefault="00123B27" w:rsidP="000738D4">
            <w:pPr>
              <w:numPr>
                <w:ilvl w:val="0"/>
                <w:numId w:val="5"/>
              </w:numPr>
              <w:spacing w:line="276" w:lineRule="auto"/>
              <w:ind w:left="7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D16">
              <w:rPr>
                <w:rFonts w:ascii="Times New Roman" w:hAnsi="Times New Roman" w:cs="Times New Roman"/>
                <w:sz w:val="28"/>
                <w:szCs w:val="28"/>
              </w:rPr>
              <w:t>очень</w:t>
            </w:r>
            <w:proofErr w:type="spellEnd"/>
            <w:r w:rsidRPr="00A33D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D16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Pr="00A33D16" w:rsidRDefault="000738D4" w:rsidP="00A4581F">
            <w:pPr>
              <w:spacing w:line="276" w:lineRule="auto"/>
              <w:ind w:righ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123B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ыполняет требования соответствующего критерия, имеются незначительные недостатки </w:t>
            </w:r>
          </w:p>
        </w:tc>
      </w:tr>
      <w:tr w:rsidR="00123B27" w:rsidRPr="00FE0D2A" w:rsidTr="00A4581F">
        <w:trPr>
          <w:trHeight w:val="1100"/>
        </w:trPr>
        <w:tc>
          <w:tcPr>
            <w:tcW w:w="3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Pr="00037E4E" w:rsidRDefault="00123B27" w:rsidP="000738D4">
            <w:pPr>
              <w:numPr>
                <w:ilvl w:val="0"/>
                <w:numId w:val="5"/>
              </w:numPr>
              <w:spacing w:line="276" w:lineRule="auto"/>
              <w:ind w:left="7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почти</w:t>
            </w:r>
            <w:proofErr w:type="spellEnd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spellEnd"/>
          </w:p>
          <w:p w:rsidR="00123B27" w:rsidRPr="00037E4E" w:rsidRDefault="00123B27" w:rsidP="000738D4">
            <w:pPr>
              <w:numPr>
                <w:ilvl w:val="0"/>
                <w:numId w:val="5"/>
              </w:numPr>
              <w:spacing w:line="276" w:lineRule="auto"/>
              <w:ind w:left="7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  <w:proofErr w:type="spellEnd"/>
          </w:p>
          <w:p w:rsidR="00123B27" w:rsidRPr="00037E4E" w:rsidRDefault="00123B27" w:rsidP="000738D4">
            <w:pPr>
              <w:numPr>
                <w:ilvl w:val="0"/>
                <w:numId w:val="5"/>
              </w:numPr>
              <w:spacing w:line="276" w:lineRule="auto"/>
              <w:ind w:left="7" w:right="2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E4E">
              <w:rPr>
                <w:rFonts w:ascii="Times New Roman" w:hAnsi="Times New Roman" w:cs="Times New Roman"/>
                <w:sz w:val="28"/>
                <w:szCs w:val="28"/>
              </w:rPr>
              <w:t>блестяще</w:t>
            </w:r>
            <w:proofErr w:type="spellEnd"/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3B27" w:rsidRPr="00037E4E" w:rsidRDefault="000738D4" w:rsidP="00A4581F">
            <w:pPr>
              <w:spacing w:line="276" w:lineRule="auto"/>
              <w:ind w:right="2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123B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полном объеме выполняет требования соответствующего критерия, недостатков не выявлено. </w:t>
            </w:r>
          </w:p>
        </w:tc>
      </w:tr>
    </w:tbl>
    <w:p w:rsidR="00123B27" w:rsidRDefault="00123B27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9A8" w:rsidRPr="002761A6" w:rsidRDefault="00ED79A8" w:rsidP="00ED79A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сдачи руководителю ЭПП от НИУ ВШЭ промежуточного отчета за промежуточный результат</w:t>
      </w:r>
      <w:r w:rsidRPr="0027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 оценка «0». </w:t>
      </w:r>
    </w:p>
    <w:p w:rsidR="006F45DF" w:rsidRPr="002761A6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за</w:t>
      </w:r>
      <w:r w:rsidR="00ED7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итоговый</w:t>
      </w:r>
      <w:r w:rsidRPr="00276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отчет по </w:t>
      </w:r>
      <w:r w:rsidR="00ED7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научно-исследовательской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практик</w:t>
      </w:r>
      <w:r w:rsidR="003404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5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AE5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  <w:t>о</w:t>
      </w:r>
      <w:proofErr w:type="spellEnd"/>
      <w:r w:rsidRPr="00AE52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учитывает качество </w:t>
      </w:r>
      <w:r w:rsidRPr="002761A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я, а также полноту и качество</w:t>
      </w:r>
      <w:r w:rsidRPr="00276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ED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по </w:t>
      </w:r>
      <w:r w:rsidR="00ED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научно-исследовательской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практики и выставляется руководителем </w:t>
      </w:r>
      <w:r w:rsidR="003404EB">
        <w:rPr>
          <w:rFonts w:ascii="Times New Roman" w:eastAsia="Times New Roman" w:hAnsi="Times New Roman" w:cs="Times New Roman"/>
          <w:sz w:val="28"/>
          <w:szCs w:val="28"/>
          <w:lang w:eastAsia="ru-RU"/>
        </w:rPr>
        <w:t>ЭПП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НИУ ВШЭ</w:t>
      </w:r>
      <w:r w:rsidRPr="00276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45DF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9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Критерии оценки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отчета </w:t>
      </w:r>
      <w:r w:rsidRPr="007A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ED79A8">
        <w:rPr>
          <w:rFonts w:ascii="Times New Roman" w:eastAsia="Times New Roman" w:hAnsi="Times New Roman" w:cs="Times New Roman"/>
          <w:sz w:val="28"/>
          <w:szCs w:val="28"/>
          <w:lang w:eastAsia="ru-RU"/>
        </w:rPr>
        <w:t>ЭПП</w:t>
      </w:r>
      <w:r w:rsidRPr="007A09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82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6639"/>
      </w:tblGrid>
      <w:tr w:rsidR="00ED79A8" w:rsidTr="00ED79A8">
        <w:trPr>
          <w:trHeight w:val="476"/>
        </w:trPr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bookmarkEnd w:id="1"/>
          <w:p w:rsidR="00ED79A8" w:rsidRDefault="00ED79A8">
            <w:pPr>
              <w:spacing w:before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Оценка по десятибалльной шкале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D79A8" w:rsidRDefault="00ED79A8">
            <w:pPr>
              <w:spacing w:before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n-GB"/>
              </w:rPr>
              <w:t>Примерное содержание оценки</w:t>
            </w:r>
          </w:p>
        </w:tc>
      </w:tr>
      <w:tr w:rsidR="00ED79A8" w:rsidTr="00ED79A8">
        <w:trPr>
          <w:trHeight w:val="128"/>
        </w:trPr>
        <w:tc>
          <w:tcPr>
            <w:tcW w:w="31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D79A8" w:rsidRDefault="00ED79A8">
            <w:pPr>
              <w:spacing w:before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10-Блестяще</w:t>
            </w:r>
          </w:p>
          <w:p w:rsidR="00ED79A8" w:rsidRDefault="00ED79A8">
            <w:pPr>
              <w:spacing w:before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9-Отлично</w:t>
            </w:r>
          </w:p>
          <w:p w:rsidR="00ED79A8" w:rsidRDefault="00ED79A8">
            <w:pPr>
              <w:spacing w:before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8-Почти отлично</w:t>
            </w:r>
          </w:p>
        </w:tc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D79A8" w:rsidRDefault="00ED79A8">
            <w:pPr>
              <w:spacing w:before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Комплект документов полный, все документы подписаны и заверены должным образом. Цель практики выполнена полностью или сверх того: либо создан интеллектуальный продукт (создана база данных, осуществлено обучение современным методам анализа данных, подготовлены аналитические материалы/статьи, переводные материалы и проч.); либо полноценно отработаны и применены на практике профессиональные компетенции (представлены многочисленные примеры и результаты деятельности с комментариями представителей организации, которые оцениваются экспертным образом). Замечания от представителей предприятия или организации отсутствуют.</w:t>
            </w:r>
          </w:p>
        </w:tc>
      </w:tr>
      <w:tr w:rsidR="00ED79A8" w:rsidTr="00ED79A8">
        <w:trPr>
          <w:trHeight w:val="128"/>
        </w:trPr>
        <w:tc>
          <w:tcPr>
            <w:tcW w:w="31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D79A8" w:rsidRDefault="00ED79A8">
            <w:pPr>
              <w:spacing w:before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7-Очень хорошо</w:t>
            </w:r>
          </w:p>
          <w:p w:rsidR="00ED79A8" w:rsidRDefault="00ED79A8">
            <w:pPr>
              <w:spacing w:before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6-Хорошо</w:t>
            </w:r>
          </w:p>
        </w:tc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D79A8" w:rsidRDefault="00ED79A8">
            <w:pPr>
              <w:spacing w:before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Комплект документов полный, но некоторые документы не подписаны или заверены недолжным образом. Цель практики выполнена почти полностью: либо создан приемлемый интеллектуальный продукт (создана частичная база данных, обучение методам анализа данных не окончено, осуществлена помощь в подготовке к публикации статьи, аналитических материалов и проч.); либо частично отработаны и применены на практике только некоторые профессиональные компетенции (кратко представлены некоторые примеры и результаты деятельности без комментариев представителей организации, которые оцениваются экспертным образом). Незначительные замечания от представителей предприятия или организации.</w:t>
            </w:r>
          </w:p>
        </w:tc>
      </w:tr>
      <w:tr w:rsidR="00ED79A8" w:rsidTr="00ED79A8">
        <w:trPr>
          <w:trHeight w:val="128"/>
        </w:trPr>
        <w:tc>
          <w:tcPr>
            <w:tcW w:w="31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D79A8" w:rsidRDefault="00ED79A8">
            <w:pPr>
              <w:spacing w:before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5-Весьма удовлетворительно</w:t>
            </w:r>
          </w:p>
          <w:p w:rsidR="00ED79A8" w:rsidRDefault="00ED79A8">
            <w:pPr>
              <w:spacing w:before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4-Удовлетворительно</w:t>
            </w:r>
          </w:p>
        </w:tc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D79A8" w:rsidRDefault="00ED79A8">
            <w:pPr>
              <w:spacing w:before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только частично: либо создан некоторый продукт деятельности (коллективно начата создаваться частичная база данных, обучение методам анализа данных оказалось бесполезным, осуществлена минимальная помощь в подготовке к публикации статей или аналитических материалов и проч.); либо недостаточно отработаны и применены на практике профессиональные компетенции (кратко представлены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lastRenderedPageBreak/>
              <w:t>некоторые примеры и результаты деятельности без комментариев представителей организации, которые оцениваются экспертным образом). Есть замечания от представителей предприятия или организации.</w:t>
            </w:r>
          </w:p>
        </w:tc>
      </w:tr>
      <w:tr w:rsidR="00ED79A8" w:rsidTr="00ED79A8">
        <w:trPr>
          <w:trHeight w:val="128"/>
        </w:trPr>
        <w:tc>
          <w:tcPr>
            <w:tcW w:w="314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D79A8" w:rsidRDefault="00ED79A8">
            <w:pPr>
              <w:spacing w:before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lastRenderedPageBreak/>
              <w:t>3-Плохо</w:t>
            </w:r>
          </w:p>
          <w:p w:rsidR="00ED79A8" w:rsidRDefault="00ED79A8">
            <w:pPr>
              <w:spacing w:before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2-Очень плохо</w:t>
            </w:r>
          </w:p>
          <w:p w:rsidR="00ED79A8" w:rsidRDefault="00ED79A8">
            <w:pPr>
              <w:spacing w:before="192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1-Весьма неудовлетворительно</w:t>
            </w:r>
          </w:p>
        </w:tc>
        <w:tc>
          <w:tcPr>
            <w:tcW w:w="66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80" w:type="dxa"/>
            </w:tcMar>
            <w:hideMark/>
          </w:tcPr>
          <w:p w:rsidR="00ED79A8" w:rsidRDefault="00ED79A8">
            <w:pPr>
              <w:spacing w:before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GB"/>
              </w:rPr>
              <w:t>Комплект документов неполный. Цель практики не выполнена. Серьёзные замечания от представителей предприятия или организации.</w:t>
            </w:r>
          </w:p>
        </w:tc>
      </w:tr>
    </w:tbl>
    <w:p w:rsidR="003404EB" w:rsidRDefault="003404EB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45DF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</w:t>
      </w:r>
      <w:r w:rsidRPr="00567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67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6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прохождение </w:t>
      </w:r>
      <w:r w:rsidR="009C7C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рассчитывается по следующей формуле:</w:t>
      </w:r>
    </w:p>
    <w:p w:rsidR="006F45DF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DF" w:rsidRDefault="006F45DF" w:rsidP="006F45DF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60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Орез</w:t>
      </w:r>
      <w:proofErr w:type="spellEnd"/>
      <w:r w:rsidRPr="00036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ED79A8">
        <w:rPr>
          <w:rFonts w:ascii="Times New Roman" w:eastAsia="Times New Roman" w:hAnsi="Times New Roman" w:cs="Times New Roman"/>
          <w:sz w:val="28"/>
          <w:szCs w:val="28"/>
          <w:lang w:eastAsia="ru-RU"/>
        </w:rPr>
        <w:t>0,5*Оп</w:t>
      </w:r>
      <w:r w:rsidR="00236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+ 0,</w:t>
      </w:r>
      <w:r w:rsidR="00ED79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643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spellStart"/>
      <w:r w:rsidR="00236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r w:rsidRPr="000360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F45DF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DF" w:rsidRDefault="006F45DF" w:rsidP="0023643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итог</w:t>
      </w:r>
      <w:r w:rsidR="00236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 оценка по 10-бальной шкале.</w:t>
      </w:r>
    </w:p>
    <w:p w:rsidR="006F45DF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5DF" w:rsidRPr="00567B74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Итоговая оценка округляется по арифметическим правилам. </w:t>
      </w:r>
    </w:p>
    <w:p w:rsidR="006F45DF" w:rsidRDefault="006F45DF" w:rsidP="006F45D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31E1" w:rsidRPr="00201EC7" w:rsidRDefault="006F45DF" w:rsidP="00201EC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пересдачи.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Академическая задолженность по ЭПП может быть ликвидирована путем пересдач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8E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проверки отчетов по выполненным работам производится пересчет оценки по общим правилам. При пересчете оценки за вновь выполненные работы заменяют неудовлетворительные оценки, полученные в учебный период.</w:t>
      </w:r>
    </w:p>
    <w:sectPr w:rsidR="00FD31E1" w:rsidRPr="0020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25E51"/>
    <w:multiLevelType w:val="hybridMultilevel"/>
    <w:tmpl w:val="2DFA5416"/>
    <w:lvl w:ilvl="0" w:tplc="6B7CED2E">
      <w:start w:val="8"/>
      <w:numFmt w:val="decimal"/>
      <w:lvlText w:val="%1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41D9C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2C1C0E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E895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CFCF8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6005E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D6582C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0D1EE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2839FC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7F6660"/>
    <w:multiLevelType w:val="hybridMultilevel"/>
    <w:tmpl w:val="5B4E30BA"/>
    <w:lvl w:ilvl="0" w:tplc="A52AB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4477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E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427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E8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0AC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C4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D05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07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8D13492"/>
    <w:multiLevelType w:val="hybridMultilevel"/>
    <w:tmpl w:val="1A4C30F4"/>
    <w:lvl w:ilvl="0" w:tplc="73A870EE">
      <w:start w:val="4"/>
      <w:numFmt w:val="decimal"/>
      <w:lvlText w:val="%1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09ABE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D0C790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3218E6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EC974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7E36BC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6AE4BA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6A751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540006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8445C9"/>
    <w:multiLevelType w:val="hybridMultilevel"/>
    <w:tmpl w:val="09148FA8"/>
    <w:lvl w:ilvl="0" w:tplc="A5FADF78">
      <w:start w:val="1"/>
      <w:numFmt w:val="decimal"/>
      <w:lvlText w:val="%1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0721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6C42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A00D38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6E8B8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4965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A1AC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230E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6B18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786A8A"/>
    <w:multiLevelType w:val="hybridMultilevel"/>
    <w:tmpl w:val="09148FA8"/>
    <w:lvl w:ilvl="0" w:tplc="A5FADF78">
      <w:start w:val="1"/>
      <w:numFmt w:val="decimal"/>
      <w:lvlText w:val="%1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07210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6C42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A00D38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6E8B86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F4965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A1AC8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4230EC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6B184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DF"/>
    <w:rsid w:val="000738D4"/>
    <w:rsid w:val="00123B27"/>
    <w:rsid w:val="00201EC7"/>
    <w:rsid w:val="0023643B"/>
    <w:rsid w:val="002A4F7D"/>
    <w:rsid w:val="00316572"/>
    <w:rsid w:val="003404EB"/>
    <w:rsid w:val="004F4286"/>
    <w:rsid w:val="006F45DF"/>
    <w:rsid w:val="007F3485"/>
    <w:rsid w:val="008E2799"/>
    <w:rsid w:val="00965C15"/>
    <w:rsid w:val="009C7CF4"/>
    <w:rsid w:val="00ED79A8"/>
    <w:rsid w:val="00FD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AD409-C1C4-4314-B39D-7D606AF5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16572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7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5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D5C4B-B576-403B-9936-57BF260E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Евгения Владиславовна</dc:creator>
  <cp:keywords/>
  <dc:description/>
  <cp:lastModifiedBy>Степанова Евгения Владиславовна</cp:lastModifiedBy>
  <cp:revision>2</cp:revision>
  <dcterms:created xsi:type="dcterms:W3CDTF">2024-05-17T07:52:00Z</dcterms:created>
  <dcterms:modified xsi:type="dcterms:W3CDTF">2024-05-17T07:52:00Z</dcterms:modified>
</cp:coreProperties>
</file>